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1.xml" ContentType="application/vnd.openxmlformats-officedocument.drawingml.chartshapes+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drawings/drawing2.xml" ContentType="application/vnd.openxmlformats-officedocument.drawingml.chartshapes+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drawings/drawing3.xml" ContentType="application/vnd.openxmlformats-officedocument.drawingml.chartshapes+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drawings/drawing4.xml" ContentType="application/vnd.openxmlformats-officedocument.drawingml.chartshapes+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drawings/drawing5.xml" ContentType="application/vnd.openxmlformats-officedocument.drawingml.chartshapes+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drawings/drawing6.xml" ContentType="application/vnd.openxmlformats-officedocument.drawingml.chartshapes+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drawings/drawing7.xml" ContentType="application/vnd.openxmlformats-officedocument.drawingml.chartshapes+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drawings/drawing8.xml" ContentType="application/vnd.openxmlformats-officedocument.drawingml.chartshapes+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drawings/drawing9.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479A8" w14:textId="77777777" w:rsidR="00B649E1" w:rsidRDefault="00154811" w:rsidP="0092526B">
      <w:pPr>
        <w:pStyle w:val="Title"/>
        <w:jc w:val="right"/>
      </w:pPr>
      <w:r>
        <w:rPr>
          <w:noProof/>
        </w:rPr>
        <w:drawing>
          <wp:anchor distT="0" distB="0" distL="114300" distR="114300" simplePos="0" relativeHeight="251668480" behindDoc="0" locked="0" layoutInCell="1" allowOverlap="1" wp14:anchorId="69D9FE52" wp14:editId="6AFE7A69">
            <wp:simplePos x="0" y="0"/>
            <wp:positionH relativeFrom="column">
              <wp:posOffset>-1092246</wp:posOffset>
            </wp:positionH>
            <wp:positionV relativeFrom="paragraph">
              <wp:posOffset>-916894</wp:posOffset>
            </wp:positionV>
            <wp:extent cx="5213784" cy="7234992"/>
            <wp:effectExtent l="0" t="0" r="0" b="0"/>
            <wp:wrapNone/>
            <wp:docPr id="4" name="Picture 4">
              <a:extLst xmlns:a="http://schemas.openxmlformats.org/drawingml/2006/main">
                <a:ext uri="{FF2B5EF4-FFF2-40B4-BE49-F238E27FC236}">
                  <a16:creationId xmlns:a16="http://schemas.microsoft.com/office/drawing/2014/main" id="{E254128A-16EF-418C-8F34-01BF3464D3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E254128A-16EF-418C-8F34-01BF3464D3B7}"/>
                        </a:ext>
                      </a:extLst>
                    </pic:cNvPr>
                    <pic:cNvPicPr>
                      <a:picLocks noChangeAspect="1"/>
                    </pic:cNvPicPr>
                  </pic:nvPicPr>
                  <pic:blipFill rotWithShape="1">
                    <a:blip r:embed="rId11"/>
                    <a:srcRect l="6737" t="3203"/>
                    <a:stretch/>
                  </pic:blipFill>
                  <pic:spPr>
                    <a:xfrm>
                      <a:off x="0" y="0"/>
                      <a:ext cx="5213784" cy="7234992"/>
                    </a:xfrm>
                    <a:prstGeom prst="rect">
                      <a:avLst/>
                    </a:prstGeom>
                  </pic:spPr>
                </pic:pic>
              </a:graphicData>
            </a:graphic>
          </wp:anchor>
        </w:drawing>
      </w:r>
      <w:r>
        <w:rPr>
          <w:noProof/>
        </w:rPr>
        <w:drawing>
          <wp:anchor distT="0" distB="0" distL="114300" distR="114300" simplePos="0" relativeHeight="251666432" behindDoc="0" locked="0" layoutInCell="1" allowOverlap="1" wp14:anchorId="3FAAFA31" wp14:editId="1D4D00F2">
            <wp:simplePos x="0" y="0"/>
            <wp:positionH relativeFrom="page">
              <wp:posOffset>-200722</wp:posOffset>
            </wp:positionH>
            <wp:positionV relativeFrom="paragraph">
              <wp:posOffset>-914400</wp:posOffset>
            </wp:positionV>
            <wp:extent cx="5025454" cy="6813032"/>
            <wp:effectExtent l="0" t="0" r="3810" b="6985"/>
            <wp:wrapNone/>
            <wp:docPr id="20" name="Picture 20">
              <a:extLst xmlns:a="http://schemas.openxmlformats.org/drawingml/2006/main">
                <a:ext uri="{FF2B5EF4-FFF2-40B4-BE49-F238E27FC236}">
                  <a16:creationId xmlns:a16="http://schemas.microsoft.com/office/drawing/2014/main" id="{C4E93E53-9006-4325-9652-F858DC29D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FF2B5EF4-FFF2-40B4-BE49-F238E27FC236}">
                          <a16:creationId xmlns:a16="http://schemas.microsoft.com/office/drawing/2014/main" id="{C4E93E53-9006-4325-9652-F858DC29DDFE}"/>
                        </a:ext>
                      </a:extLst>
                    </pic:cNvPr>
                    <pic:cNvPicPr>
                      <a:picLocks noChangeAspect="1"/>
                    </pic:cNvPicPr>
                  </pic:nvPicPr>
                  <pic:blipFill rotWithShape="1">
                    <a:blip r:embed="rId12"/>
                    <a:srcRect l="1984" t="1540"/>
                    <a:stretch/>
                  </pic:blipFill>
                  <pic:spPr>
                    <a:xfrm>
                      <a:off x="0" y="0"/>
                      <a:ext cx="5025454" cy="6813032"/>
                    </a:xfrm>
                    <a:prstGeom prst="rect">
                      <a:avLst/>
                    </a:prstGeom>
                  </pic:spPr>
                </pic:pic>
              </a:graphicData>
            </a:graphic>
          </wp:anchor>
        </w:drawing>
      </w:r>
      <w:r w:rsidRPr="00154811">
        <w:rPr>
          <w:noProof/>
        </w:rPr>
        <mc:AlternateContent>
          <mc:Choice Requires="wps">
            <w:drawing>
              <wp:anchor distT="0" distB="0" distL="114300" distR="114300" simplePos="0" relativeHeight="251656191" behindDoc="0" locked="0" layoutInCell="1" allowOverlap="1" wp14:anchorId="2E2A00E8" wp14:editId="1C719894">
                <wp:simplePos x="0" y="0"/>
                <wp:positionH relativeFrom="margin">
                  <wp:align>center</wp:align>
                </wp:positionH>
                <wp:positionV relativeFrom="paragraph">
                  <wp:posOffset>-721995</wp:posOffset>
                </wp:positionV>
                <wp:extent cx="7679690" cy="4646295"/>
                <wp:effectExtent l="0" t="0" r="16510" b="20955"/>
                <wp:wrapNone/>
                <wp:docPr id="7" name="Rectangle 7">
                  <a:extLst xmlns:a="http://schemas.openxmlformats.org/drawingml/2006/main">
                    <a:ext uri="{FF2B5EF4-FFF2-40B4-BE49-F238E27FC236}">
                      <a16:creationId xmlns:a16="http://schemas.microsoft.com/office/drawing/2014/main" id="{7E233B27-3C5C-49AE-88A6-938B4241ED8B}"/>
                    </a:ext>
                  </a:extLst>
                </wp:docPr>
                <wp:cNvGraphicFramePr/>
                <a:graphic xmlns:a="http://schemas.openxmlformats.org/drawingml/2006/main">
                  <a:graphicData uri="http://schemas.microsoft.com/office/word/2010/wordprocessingShape">
                    <wps:wsp>
                      <wps:cNvSpPr/>
                      <wps:spPr>
                        <a:xfrm>
                          <a:off x="0" y="0"/>
                          <a:ext cx="7679690" cy="4646295"/>
                        </a:xfrm>
                        <a:prstGeom prst="rect">
                          <a:avLst/>
                        </a:prstGeom>
                        <a:solidFill>
                          <a:sysClr val="window" lastClr="FFFFFF"/>
                        </a:solidFill>
                        <a:ln w="19050" cap="flat" cmpd="sng" algn="ctr">
                          <a:solidFill>
                            <a:sysClr val="window" lastClr="FFFFFF"/>
                          </a:solidFill>
                          <a:prstDash val="solid"/>
                          <a:miter lim="800000"/>
                        </a:ln>
                        <a:effectLst/>
                      </wps:spPr>
                      <wps:bodyPr rtlCol="0" anchor="ctr"/>
                    </wps:wsp>
                  </a:graphicData>
                </a:graphic>
              </wp:anchor>
            </w:drawing>
          </mc:Choice>
          <mc:Fallback>
            <w:pict>
              <v:rect w14:anchorId="7F1BABE6" id="Rectangle 7" o:spid="_x0000_s1026" style="position:absolute;margin-left:0;margin-top:-56.85pt;width:604.7pt;height:365.85pt;z-index:25165619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" fillcolor="window" strokecolor="window" strokeweight="1.5pt">
                <w10:wrap anchorx="margin"/>
              </v:rect>
            </w:pict>
          </mc:Fallback>
        </mc:AlternateContent>
      </w:r>
      <w:r w:rsidRPr="00154811">
        <w:rPr>
          <w:noProof/>
        </w:rPr>
        <w:drawing>
          <wp:anchor distT="0" distB="0" distL="114300" distR="114300" simplePos="0" relativeHeight="251659264" behindDoc="0" locked="0" layoutInCell="1" allowOverlap="1" wp14:anchorId="4CF72681" wp14:editId="408CFA4E">
            <wp:simplePos x="0" y="0"/>
            <wp:positionH relativeFrom="column">
              <wp:posOffset>5143500</wp:posOffset>
            </wp:positionH>
            <wp:positionV relativeFrom="paragraph">
              <wp:posOffset>-721995</wp:posOffset>
            </wp:positionV>
            <wp:extent cx="1348105" cy="1254760"/>
            <wp:effectExtent l="0" t="0" r="0" b="0"/>
            <wp:wrapNone/>
            <wp:docPr id="13" name="Picture 13">
              <a:extLst xmlns:a="http://schemas.openxmlformats.org/drawingml/2006/main">
                <a:ext uri="{FF2B5EF4-FFF2-40B4-BE49-F238E27FC236}">
                  <a16:creationId xmlns:a16="http://schemas.microsoft.com/office/drawing/2014/main" id="{676C0BF1-80A5-427C-B9F1-9EF8DC89D7BB}"/>
                </a:ext>
              </a:extLst>
            </wp:docPr>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76C0BF1-80A5-427C-B9F1-9EF8DC89D7BB}"/>
                        </a:ext>
                      </a:extLst>
                    </pic:cNvPr>
                    <pic:cNvPicPr/>
                  </pic:nvPicPr>
                  <pic:blipFill>
                    <a:blip r:embed="rId13"/>
                    <a:stretch>
                      <a:fillRect/>
                    </a:stretch>
                  </pic:blipFill>
                  <pic:spPr bwMode="auto">
                    <a:xfrm>
                      <a:off x="0" y="0"/>
                      <a:ext cx="1348105" cy="1254760"/>
                    </a:xfrm>
                    <a:prstGeom prst="rect">
                      <a:avLst/>
                    </a:prstGeom>
                    <a:noFill/>
                    <a:ln>
                      <a:noFill/>
                    </a:ln>
                  </pic:spPr>
                </pic:pic>
              </a:graphicData>
            </a:graphic>
          </wp:anchor>
        </w:drawing>
      </w:r>
    </w:p>
    <w:p w14:paraId="6E1BE096" w14:textId="77777777" w:rsidR="00B649E1" w:rsidRDefault="00462137">
      <w:pPr>
        <w:spacing w:line="259" w:lineRule="auto"/>
        <w:rPr>
          <w:rFonts w:asciiTheme="majorHAnsi" w:eastAsiaTheme="majorEastAsia" w:hAnsiTheme="majorHAnsi" w:cstheme="majorBidi"/>
          <w:spacing w:val="-10"/>
          <w:kern w:val="28"/>
          <w:sz w:val="56"/>
          <w:szCs w:val="56"/>
        </w:rPr>
      </w:pPr>
      <w:r>
        <w:rPr>
          <w:noProof/>
        </w:rPr>
        <mc:AlternateContent>
          <mc:Choice Requires="wps">
            <w:drawing>
              <wp:anchor distT="0" distB="0" distL="114300" distR="114300" simplePos="0" relativeHeight="251673600" behindDoc="0" locked="0" layoutInCell="1" allowOverlap="1" wp14:anchorId="7B6B5B33" wp14:editId="60969DB3">
                <wp:simplePos x="0" y="0"/>
                <wp:positionH relativeFrom="page">
                  <wp:posOffset>2752725</wp:posOffset>
                </wp:positionH>
                <wp:positionV relativeFrom="paragraph">
                  <wp:posOffset>2787650</wp:posOffset>
                </wp:positionV>
                <wp:extent cx="4076700" cy="940110"/>
                <wp:effectExtent l="0" t="0" r="0" b="0"/>
                <wp:wrapNone/>
                <wp:docPr id="13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0" cy="940110"/>
                        </a:xfrm>
                        <a:prstGeom prst="rect">
                          <a:avLst/>
                        </a:prstGeom>
                        <a:noFill/>
                        <a:ln>
                          <a:noFill/>
                        </a:ln>
                      </wps:spPr>
                      <wps:txbx>
                        <w:txbxContent>
                          <w:p w14:paraId="3647A573" w14:textId="77777777" w:rsidR="00173212" w:rsidRPr="00752F8D" w:rsidRDefault="00173212" w:rsidP="004629A7">
                            <w:pPr>
                              <w:pStyle w:val="NormalWeb"/>
                              <w:spacing w:after="120"/>
                              <w:rPr>
                                <w:rFonts w:asciiTheme="minorHAnsi" w:hAnsi="Merriweather" w:cstheme="minorBidi"/>
                                <w:b/>
                                <w:color w:val="7F7F7F" w:themeColor="text1" w:themeTint="80"/>
                                <w:kern w:val="24"/>
                                <w:sz w:val="36"/>
                                <w:szCs w:val="36"/>
                              </w:rPr>
                            </w:pPr>
                            <w:r>
                              <w:rPr>
                                <w:rFonts w:asciiTheme="minorHAnsi" w:hAnsi="Merriweather" w:cstheme="minorBidi"/>
                                <w:b/>
                                <w:color w:val="7F7F7F" w:themeColor="text1" w:themeTint="80"/>
                                <w:kern w:val="24"/>
                                <w:sz w:val="36"/>
                                <w:szCs w:val="36"/>
                              </w:rPr>
                              <w:t>FFY 2020</w:t>
                            </w:r>
                            <w:r w:rsidRPr="00752F8D">
                              <w:rPr>
                                <w:rFonts w:asciiTheme="minorHAnsi" w:hAnsi="Merriweather" w:cstheme="minorBidi"/>
                                <w:b/>
                                <w:color w:val="7F7F7F" w:themeColor="text1" w:themeTint="80"/>
                                <w:kern w:val="24"/>
                                <w:sz w:val="36"/>
                                <w:szCs w:val="36"/>
                              </w:rPr>
                              <w:t xml:space="preserve"> Evaluation Report</w:t>
                            </w:r>
                          </w:p>
                          <w:p w14:paraId="75A2F7ED" w14:textId="15B4D45F" w:rsidR="00173212" w:rsidRPr="00752F8D" w:rsidRDefault="00E10D65" w:rsidP="00AD535F">
                            <w:pPr>
                              <w:rPr>
                                <w:color w:val="808080" w:themeColor="background1" w:themeShade="80"/>
                                <w:sz w:val="28"/>
                                <w:szCs w:val="28"/>
                              </w:rPr>
                            </w:pPr>
                            <w:r>
                              <w:rPr>
                                <w:color w:val="808080" w:themeColor="background1" w:themeShade="80"/>
                                <w:sz w:val="28"/>
                                <w:szCs w:val="28"/>
                              </w:rPr>
                              <w:t>February</w:t>
                            </w:r>
                            <w:r w:rsidR="00173212" w:rsidRPr="00752F8D">
                              <w:rPr>
                                <w:color w:val="808080" w:themeColor="background1" w:themeShade="80"/>
                                <w:sz w:val="28"/>
                                <w:szCs w:val="28"/>
                              </w:rPr>
                              <w:t xml:space="preserve"> </w:t>
                            </w:r>
                            <w:r w:rsidR="00173212">
                              <w:rPr>
                                <w:color w:val="808080" w:themeColor="background1" w:themeShade="80"/>
                                <w:sz w:val="28"/>
                                <w:szCs w:val="28"/>
                              </w:rPr>
                              <w:t>2021</w:t>
                            </w:r>
                          </w:p>
                        </w:txbxContent>
                      </wps:txbx>
                      <wps:bodyPr vert="horz" wrap="square" lIns="68580" tIns="34291" rIns="68580" bIns="34291" rtlCol="0" anchor="ctr">
                        <a:noAutofit/>
                      </wps:bodyPr>
                    </wps:wsp>
                  </a:graphicData>
                </a:graphic>
                <wp14:sizeRelH relativeFrom="margin">
                  <wp14:pctWidth>0</wp14:pctWidth>
                </wp14:sizeRelH>
              </wp:anchor>
            </w:drawing>
          </mc:Choice>
          <mc:Fallback>
            <w:pict>
              <v:shapetype w14:anchorId="7B6B5B33" id="_x0000_t202" coordsize="21600,21600" o:spt="202" path="m,l,21600r21600,l21600,xe">
                <v:stroke joinstyle="miter"/>
                <v:path gradientshapeok="t" o:connecttype="rect"/>
              </v:shapetype>
              <v:shape id="Title 1" o:spid="_x0000_s1026" type="#_x0000_t202" style="position:absolute;margin-left:216.75pt;margin-top:219.5pt;width:321pt;height:74pt;z-index:2516736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" filled="f" stroked="f">
                <v:textbox inset="5.4pt,.95253mm,5.4pt,.95253mm">
                  <w:txbxContent>
                    <w:p w14:paraId="3647A573" w14:textId="77777777" w:rsidR="00173212" w:rsidRPr="00752F8D" w:rsidRDefault="00173212" w:rsidP="004629A7">
                      <w:pPr>
                        <w:pStyle w:val="NormalWeb"/>
                        <w:spacing w:after="120"/>
                        <w:rPr>
                          <w:rFonts w:asciiTheme="minorHAnsi" w:hAnsi="Merriweather" w:cstheme="minorBidi"/>
                          <w:b/>
                          <w:color w:val="7F7F7F" w:themeColor="text1" w:themeTint="80"/>
                          <w:kern w:val="24"/>
                          <w:sz w:val="36"/>
                          <w:szCs w:val="36"/>
                        </w:rPr>
                      </w:pPr>
                      <w:r>
                        <w:rPr>
                          <w:rFonts w:asciiTheme="minorHAnsi" w:hAnsi="Merriweather" w:cstheme="minorBidi"/>
                          <w:b/>
                          <w:color w:val="7F7F7F" w:themeColor="text1" w:themeTint="80"/>
                          <w:kern w:val="24"/>
                          <w:sz w:val="36"/>
                          <w:szCs w:val="36"/>
                        </w:rPr>
                        <w:t>FFY 2020</w:t>
                      </w:r>
                      <w:r w:rsidRPr="00752F8D">
                        <w:rPr>
                          <w:rFonts w:asciiTheme="minorHAnsi" w:hAnsi="Merriweather" w:cstheme="minorBidi"/>
                          <w:b/>
                          <w:color w:val="7F7F7F" w:themeColor="text1" w:themeTint="80"/>
                          <w:kern w:val="24"/>
                          <w:sz w:val="36"/>
                          <w:szCs w:val="36"/>
                        </w:rPr>
                        <w:t xml:space="preserve"> Evaluation Report</w:t>
                      </w:r>
                    </w:p>
                    <w:p w14:paraId="75A2F7ED" w14:textId="15B4D45F" w:rsidR="00173212" w:rsidRPr="00752F8D" w:rsidRDefault="00E10D65" w:rsidP="00AD535F">
                      <w:pPr>
                        <w:rPr>
                          <w:color w:val="808080" w:themeColor="background1" w:themeShade="80"/>
                          <w:sz w:val="28"/>
                          <w:szCs w:val="28"/>
                        </w:rPr>
                      </w:pPr>
                      <w:r>
                        <w:rPr>
                          <w:color w:val="808080" w:themeColor="background1" w:themeShade="80"/>
                          <w:sz w:val="28"/>
                          <w:szCs w:val="28"/>
                        </w:rPr>
                        <w:t>February</w:t>
                      </w:r>
                      <w:r w:rsidR="00173212" w:rsidRPr="00752F8D">
                        <w:rPr>
                          <w:color w:val="808080" w:themeColor="background1" w:themeShade="80"/>
                          <w:sz w:val="28"/>
                          <w:szCs w:val="28"/>
                        </w:rPr>
                        <w:t xml:space="preserve"> </w:t>
                      </w:r>
                      <w:r w:rsidR="00173212">
                        <w:rPr>
                          <w:color w:val="808080" w:themeColor="background1" w:themeShade="80"/>
                          <w:sz w:val="28"/>
                          <w:szCs w:val="28"/>
                        </w:rPr>
                        <w:t>2021</w:t>
                      </w:r>
                    </w:p>
                  </w:txbxContent>
                </v:textbox>
                <w10:wrap anchorx="page"/>
              </v:shape>
            </w:pict>
          </mc:Fallback>
        </mc:AlternateContent>
      </w:r>
      <w:r w:rsidR="008B38AD" w:rsidRPr="00154811">
        <w:rPr>
          <w:rFonts w:ascii="Georgia" w:eastAsia="Georgia" w:hAnsi="Georgia" w:cs="Times New Roman"/>
          <w:noProof/>
          <w:color w:val="404040"/>
        </w:rPr>
        <mc:AlternateContent>
          <mc:Choice Requires="wps">
            <w:drawing>
              <wp:anchor distT="0" distB="0" distL="114300" distR="114300" simplePos="0" relativeHeight="251664384" behindDoc="0" locked="0" layoutInCell="1" allowOverlap="1" wp14:anchorId="0D2CC4B5" wp14:editId="0982FDB8">
                <wp:simplePos x="0" y="0"/>
                <wp:positionH relativeFrom="page">
                  <wp:align>right</wp:align>
                </wp:positionH>
                <wp:positionV relativeFrom="paragraph">
                  <wp:posOffset>1027430</wp:posOffset>
                </wp:positionV>
                <wp:extent cx="4761865" cy="2114550"/>
                <wp:effectExtent l="0" t="0" r="0" b="0"/>
                <wp:wrapNone/>
                <wp:docPr id="10" name="Title 1">
                  <a:extLst xmlns:a="http://schemas.openxmlformats.org/drawingml/2006/main">
                    <a:ext uri="{FF2B5EF4-FFF2-40B4-BE49-F238E27FC236}">
                      <a16:creationId xmlns:a16="http://schemas.microsoft.com/office/drawing/2014/main" id="{127A6960-DCD2-4B97-810D-71C41906B1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1865" cy="2114550"/>
                        </a:xfrm>
                        <a:prstGeom prst="rect">
                          <a:avLst/>
                        </a:prstGeom>
                        <a:noFill/>
                        <a:ln>
                          <a:noFill/>
                        </a:ln>
                      </wps:spPr>
                      <wps:txbx>
                        <w:txbxContent>
                          <w:p w14:paraId="26B05283" w14:textId="77777777" w:rsidR="00173212" w:rsidRPr="0064733F" w:rsidRDefault="00173212" w:rsidP="00154811">
                            <w:pPr>
                              <w:pStyle w:val="NormalWeb"/>
                              <w:spacing w:after="0"/>
                              <w:rPr>
                                <w:i/>
                                <w:sz w:val="56"/>
                                <w:szCs w:val="56"/>
                              </w:rPr>
                            </w:pPr>
                            <w:r w:rsidRPr="001B310C">
                              <w:rPr>
                                <w:rFonts w:ascii="Franklin Gothic Book" w:hAnsi="SF Pro Text"/>
                                <w:b/>
                                <w:bCs/>
                                <w:i/>
                                <w:noProof/>
                                <w:color w:val="000000"/>
                                <w:kern w:val="24"/>
                                <w:sz w:val="56"/>
                                <w:szCs w:val="56"/>
                              </w:rPr>
                              <w:drawing>
                                <wp:inline distT="0" distB="0" distL="0" distR="0" wp14:anchorId="33D68406" wp14:editId="04A96AD0">
                                  <wp:extent cx="3765235" cy="1636970"/>
                                  <wp:effectExtent l="0" t="0" r="6985" b="1905"/>
                                  <wp:docPr id="2" name="Picture 3" descr="Logo for Creating Connections NH">
                                    <a:extLst xmlns:a="http://schemas.openxmlformats.org/drawingml/2006/main">
                                      <a:ext uri="{FF2B5EF4-FFF2-40B4-BE49-F238E27FC236}">
                                        <a16:creationId xmlns:a16="http://schemas.microsoft.com/office/drawing/2014/main" id="{0AD68C88-E33B-4F36-8CED-B6A8B828E0FE}"/>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Logo for Creating Connections NH">
                                            <a:extLst>
                                              <a:ext uri="{FF2B5EF4-FFF2-40B4-BE49-F238E27FC236}">
                                                <a16:creationId xmlns:a16="http://schemas.microsoft.com/office/drawing/2014/main" id="{0AD68C88-E33B-4F36-8CED-B6A8B828E0FE}"/>
                                              </a:ext>
                                              <a:ext uri="{C183D7F6-B498-43B3-948B-1728B52AA6E4}">
                                                <adec:decorative xmlns:adec="http://schemas.microsoft.com/office/drawing/2017/decorative" val="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765235" cy="1636970"/>
                                          </a:xfrm>
                                          <a:prstGeom prst="rect">
                                            <a:avLst/>
                                          </a:prstGeom>
                                        </pic:spPr>
                                      </pic:pic>
                                    </a:graphicData>
                                  </a:graphic>
                                </wp:inline>
                              </w:drawing>
                            </w:r>
                          </w:p>
                        </w:txbxContent>
                      </wps:txbx>
                      <wps:bodyPr vert="horz" wrap="square" lIns="68580" tIns="34291" rIns="68580" bIns="34291" rtlCol="0" anchor="ctr">
                        <a:noAutofit/>
                      </wps:bodyPr>
                    </wps:wsp>
                  </a:graphicData>
                </a:graphic>
                <wp14:sizeRelH relativeFrom="margin">
                  <wp14:pctWidth>0</wp14:pctWidth>
                </wp14:sizeRelH>
                <wp14:sizeRelV relativeFrom="margin">
                  <wp14:pctHeight>0</wp14:pctHeight>
                </wp14:sizeRelV>
              </wp:anchor>
            </w:drawing>
          </mc:Choice>
          <mc:Fallback>
            <w:pict>
              <v:shape w14:anchorId="0D2CC4B5" id="_x0000_s1027" type="#_x0000_t202" style="position:absolute;margin-left:323.75pt;margin-top:80.9pt;width:374.95pt;height:166.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" filled="f" stroked="f">
                <v:textbox inset="5.4pt,.95253mm,5.4pt,.95253mm">
                  <w:txbxContent>
                    <w:p w14:paraId="26B05283" w14:textId="77777777" w:rsidR="00173212" w:rsidRPr="0064733F" w:rsidRDefault="00173212" w:rsidP="00154811">
                      <w:pPr>
                        <w:pStyle w:val="NormalWeb"/>
                        <w:spacing w:after="0"/>
                        <w:rPr>
                          <w:i/>
                          <w:sz w:val="56"/>
                          <w:szCs w:val="56"/>
                        </w:rPr>
                      </w:pPr>
                      <w:r w:rsidRPr="001B310C">
                        <w:rPr>
                          <w:rFonts w:ascii="Franklin Gothic Book" w:hAnsi="SF Pro Text"/>
                          <w:b/>
                          <w:bCs/>
                          <w:i/>
                          <w:noProof/>
                          <w:color w:val="000000"/>
                          <w:kern w:val="24"/>
                          <w:sz w:val="56"/>
                          <w:szCs w:val="56"/>
                        </w:rPr>
                        <w:drawing>
                          <wp:inline distT="0" distB="0" distL="0" distR="0" wp14:anchorId="33D68406" wp14:editId="04A96AD0">
                            <wp:extent cx="3765235" cy="1636970"/>
                            <wp:effectExtent l="0" t="0" r="6985" b="1905"/>
                            <wp:docPr id="2" name="Picture 3" descr="Logo for Creating Connections NH">
                              <a:extLst xmlns:a="http://schemas.openxmlformats.org/drawingml/2006/main">
                                <a:ext uri="{FF2B5EF4-FFF2-40B4-BE49-F238E27FC236}">
                                  <a16:creationId xmlns:a16="http://schemas.microsoft.com/office/drawing/2014/main" id="{0AD68C88-E33B-4F36-8CED-B6A8B828E0FE}"/>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Logo for Creating Connections NH">
                                      <a:extLst>
                                        <a:ext uri="{FF2B5EF4-FFF2-40B4-BE49-F238E27FC236}">
                                          <a16:creationId xmlns:a16="http://schemas.microsoft.com/office/drawing/2014/main" id="{0AD68C88-E33B-4F36-8CED-B6A8B828E0FE}"/>
                                        </a:ext>
                                        <a:ext uri="{C183D7F6-B498-43B3-948B-1728B52AA6E4}">
                                          <adec:decorative xmlns:adec="http://schemas.microsoft.com/office/drawing/2017/decorative" val="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765235" cy="1636970"/>
                                    </a:xfrm>
                                    <a:prstGeom prst="rect">
                                      <a:avLst/>
                                    </a:prstGeom>
                                  </pic:spPr>
                                </pic:pic>
                              </a:graphicData>
                            </a:graphic>
                          </wp:inline>
                        </w:drawing>
                      </w:r>
                    </w:p>
                  </w:txbxContent>
                </v:textbox>
                <w10:wrap anchorx="page"/>
              </v:shape>
            </w:pict>
          </mc:Fallback>
        </mc:AlternateContent>
      </w:r>
      <w:r w:rsidR="00381FCE" w:rsidRPr="00154811">
        <w:rPr>
          <w:noProof/>
        </w:rPr>
        <mc:AlternateContent>
          <mc:Choice Requires="wps">
            <w:drawing>
              <wp:anchor distT="0" distB="0" distL="114300" distR="114300" simplePos="0" relativeHeight="251657216" behindDoc="0" locked="0" layoutInCell="1" allowOverlap="1" wp14:anchorId="014C2489" wp14:editId="61224115">
                <wp:simplePos x="0" y="0"/>
                <wp:positionH relativeFrom="page">
                  <wp:align>right</wp:align>
                </wp:positionH>
                <wp:positionV relativeFrom="paragraph">
                  <wp:posOffset>3604074</wp:posOffset>
                </wp:positionV>
                <wp:extent cx="7771765" cy="5938520"/>
                <wp:effectExtent l="0" t="0" r="635" b="5080"/>
                <wp:wrapNone/>
                <wp:docPr id="6" name="Rectangle 6">
                  <a:extLst xmlns:a="http://schemas.openxmlformats.org/drawingml/2006/main">
                    <a:ext uri="{FF2B5EF4-FFF2-40B4-BE49-F238E27FC236}">
                      <a16:creationId xmlns:a16="http://schemas.microsoft.com/office/drawing/2014/main" id="{EF6FD0C8-B21C-4D3B-83FB-D911C47A1F43}"/>
                    </a:ext>
                  </a:extLst>
                </wp:docPr>
                <wp:cNvGraphicFramePr/>
                <a:graphic xmlns:a="http://schemas.openxmlformats.org/drawingml/2006/main">
                  <a:graphicData uri="http://schemas.microsoft.com/office/word/2010/wordprocessingShape">
                    <wps:wsp>
                      <wps:cNvSpPr/>
                      <wps:spPr>
                        <a:xfrm>
                          <a:off x="0" y="0"/>
                          <a:ext cx="7771765" cy="5938520"/>
                        </a:xfrm>
                        <a:prstGeom prst="rect">
                          <a:avLst/>
                        </a:prstGeom>
                        <a:solidFill>
                          <a:srgbClr val="44546A">
                            <a:lumMod val="40000"/>
                            <a:lumOff val="60000"/>
                            <a:alpha val="54118"/>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E44BE" id="Rectangle 6" o:spid="_x0000_s1026" style="position:absolute;margin-left:560.75pt;margin-top:283.8pt;width:611.95pt;height:467.6pt;z-index:25165721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" fillcolor="#adb9ca" stroked="f" strokeweight="1pt">
                <v:fill opacity="35466f"/>
                <w10:wrap anchorx="page"/>
              </v:rect>
            </w:pict>
          </mc:Fallback>
        </mc:AlternateContent>
      </w:r>
      <w:r w:rsidR="00154811">
        <w:rPr>
          <w:rFonts w:asciiTheme="majorHAnsi" w:eastAsiaTheme="majorEastAsia" w:hAnsiTheme="majorHAnsi" w:cstheme="majorBidi"/>
          <w:noProof/>
          <w:spacing w:val="-10"/>
          <w:kern w:val="28"/>
          <w:sz w:val="56"/>
          <w:szCs w:val="56"/>
        </w:rPr>
        <w:drawing>
          <wp:anchor distT="0" distB="0" distL="114300" distR="114300" simplePos="0" relativeHeight="251669504" behindDoc="1" locked="0" layoutInCell="1" allowOverlap="1" wp14:anchorId="7A27AE00" wp14:editId="5F4B2677">
            <wp:simplePos x="0" y="0"/>
            <wp:positionH relativeFrom="page">
              <wp:posOffset>-1419303</wp:posOffset>
            </wp:positionH>
            <wp:positionV relativeFrom="margin">
              <wp:posOffset>3991951</wp:posOffset>
            </wp:positionV>
            <wp:extent cx="9202994" cy="520298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utterstock_330005462.jpg"/>
                    <pic:cNvPicPr/>
                  </pic:nvPicPr>
                  <pic:blipFill rotWithShape="1">
                    <a:blip r:embed="rId15" cstate="print">
                      <a:extLst>
                        <a:ext uri="{28A0092B-C50C-407E-A947-70E740481C1C}">
                          <a14:useLocalDpi xmlns:a14="http://schemas.microsoft.com/office/drawing/2010/main" val="0"/>
                        </a:ext>
                      </a:extLst>
                    </a:blip>
                    <a:srcRect t="15197"/>
                    <a:stretch/>
                  </pic:blipFill>
                  <pic:spPr bwMode="auto">
                    <a:xfrm>
                      <a:off x="0" y="0"/>
                      <a:ext cx="9202994" cy="5202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49E1">
        <w:br w:type="page"/>
      </w:r>
    </w:p>
    <w:p w14:paraId="3E83BEC9" w14:textId="77777777" w:rsidR="00381FCE" w:rsidRPr="00E13C57" w:rsidRDefault="00381FCE" w:rsidP="00E13C57">
      <w:pPr>
        <w:rPr>
          <w:rFonts w:asciiTheme="majorHAnsi" w:eastAsiaTheme="majorEastAsia" w:hAnsiTheme="majorHAnsi" w:cstheme="majorBidi"/>
          <w:color w:val="20422A" w:themeColor="accent1"/>
          <w:sz w:val="42"/>
          <w:szCs w:val="42"/>
        </w:rPr>
      </w:pPr>
      <w:bookmarkStart w:id="0" w:name="_Toc515544889"/>
      <w:bookmarkStart w:id="1" w:name="_Toc515870198"/>
      <w:bookmarkStart w:id="2" w:name="_Toc515874186"/>
      <w:bookmarkStart w:id="3" w:name="_Toc515884781"/>
      <w:bookmarkStart w:id="4" w:name="_Toc517961341"/>
      <w:bookmarkStart w:id="5" w:name="_Toc517961793"/>
      <w:bookmarkStart w:id="6" w:name="_Toc518026678"/>
      <w:bookmarkStart w:id="7" w:name="_Toc518033462"/>
      <w:bookmarkStart w:id="8" w:name="_Toc518033653"/>
      <w:bookmarkStart w:id="9" w:name="_Toc518034187"/>
      <w:bookmarkStart w:id="10" w:name="_Toc518035963"/>
      <w:bookmarkStart w:id="11" w:name="_Toc518041675"/>
      <w:bookmarkStart w:id="12" w:name="_Toc518298824"/>
      <w:bookmarkStart w:id="13" w:name="_Toc520385457"/>
      <w:bookmarkStart w:id="14" w:name="_Toc523922550"/>
      <w:bookmarkStart w:id="15" w:name="_Toc524418829"/>
      <w:bookmarkStart w:id="16" w:name="_Toc524426871"/>
      <w:bookmarkStart w:id="17" w:name="_Toc524428687"/>
      <w:bookmarkStart w:id="18" w:name="_Toc524437947"/>
      <w:bookmarkStart w:id="19" w:name="_Toc524438476"/>
      <w:r w:rsidRPr="00E13C57">
        <w:rPr>
          <w:rFonts w:asciiTheme="majorHAnsi" w:eastAsiaTheme="majorEastAsia" w:hAnsiTheme="majorHAnsi" w:cstheme="majorBidi"/>
          <w:color w:val="20422A" w:themeColor="accent1"/>
          <w:sz w:val="42"/>
          <w:szCs w:val="42"/>
        </w:rPr>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sdt>
      <w:sdtPr>
        <w:id w:val="592047307"/>
        <w:docPartObj>
          <w:docPartGallery w:val="Table of Contents"/>
          <w:docPartUnique/>
        </w:docPartObj>
      </w:sdtPr>
      <w:sdtEndPr>
        <w:rPr>
          <w:b/>
          <w:bCs/>
          <w:noProof/>
        </w:rPr>
      </w:sdtEndPr>
      <w:sdtContent>
        <w:p w14:paraId="5F3AF09F" w14:textId="77777777" w:rsidR="00381FCE" w:rsidRDefault="00381FCE" w:rsidP="00383F2D">
          <w:pPr>
            <w:pStyle w:val="NoSpacing"/>
          </w:pPr>
        </w:p>
        <w:p w14:paraId="1CFD2058" w14:textId="72A32334" w:rsidR="003F16B0" w:rsidRDefault="00381FCE">
          <w:pPr>
            <w:pStyle w:val="TOC1"/>
            <w:rPr>
              <w:rFonts w:eastAsiaTheme="minorEastAsia"/>
              <w:noProof/>
              <w:color w:val="auto"/>
            </w:rPr>
          </w:pPr>
          <w:r>
            <w:fldChar w:fldCharType="begin"/>
          </w:r>
          <w:r>
            <w:instrText xml:space="preserve"> TOC \o "1-3" \h \z \u </w:instrText>
          </w:r>
          <w:r>
            <w:fldChar w:fldCharType="separate"/>
          </w:r>
          <w:hyperlink w:anchor="_Toc64988238" w:history="1">
            <w:r w:rsidR="003F16B0" w:rsidRPr="006747D6">
              <w:rPr>
                <w:rStyle w:val="Hyperlink"/>
                <w:noProof/>
              </w:rPr>
              <w:t>Introduction</w:t>
            </w:r>
            <w:r w:rsidR="003F16B0">
              <w:rPr>
                <w:noProof/>
                <w:webHidden/>
              </w:rPr>
              <w:tab/>
            </w:r>
            <w:r w:rsidR="003F16B0">
              <w:rPr>
                <w:noProof/>
                <w:webHidden/>
              </w:rPr>
              <w:fldChar w:fldCharType="begin"/>
            </w:r>
            <w:r w:rsidR="003F16B0">
              <w:rPr>
                <w:noProof/>
                <w:webHidden/>
              </w:rPr>
              <w:instrText xml:space="preserve"> PAGEREF _Toc64988238 \h </w:instrText>
            </w:r>
            <w:r w:rsidR="003F16B0">
              <w:rPr>
                <w:noProof/>
                <w:webHidden/>
              </w:rPr>
            </w:r>
            <w:r w:rsidR="003F16B0">
              <w:rPr>
                <w:noProof/>
                <w:webHidden/>
              </w:rPr>
              <w:fldChar w:fldCharType="separate"/>
            </w:r>
            <w:r w:rsidR="003F16B0">
              <w:rPr>
                <w:noProof/>
                <w:webHidden/>
              </w:rPr>
              <w:t>1</w:t>
            </w:r>
            <w:r w:rsidR="003F16B0">
              <w:rPr>
                <w:noProof/>
                <w:webHidden/>
              </w:rPr>
              <w:fldChar w:fldCharType="end"/>
            </w:r>
          </w:hyperlink>
        </w:p>
        <w:p w14:paraId="35CE7EF3" w14:textId="1F37FA94" w:rsidR="003F16B0" w:rsidRDefault="003F16B0">
          <w:pPr>
            <w:pStyle w:val="TOC1"/>
            <w:rPr>
              <w:rFonts w:eastAsiaTheme="minorEastAsia"/>
              <w:noProof/>
              <w:color w:val="auto"/>
            </w:rPr>
          </w:pPr>
          <w:hyperlink w:anchor="_Toc64988239" w:history="1">
            <w:r w:rsidRPr="006747D6">
              <w:rPr>
                <w:rStyle w:val="Hyperlink"/>
                <w:noProof/>
              </w:rPr>
              <w:t>Evaluation Questions</w:t>
            </w:r>
            <w:r>
              <w:rPr>
                <w:noProof/>
                <w:webHidden/>
              </w:rPr>
              <w:tab/>
            </w:r>
            <w:r>
              <w:rPr>
                <w:noProof/>
                <w:webHidden/>
              </w:rPr>
              <w:fldChar w:fldCharType="begin"/>
            </w:r>
            <w:r>
              <w:rPr>
                <w:noProof/>
                <w:webHidden/>
              </w:rPr>
              <w:instrText xml:space="preserve"> PAGEREF _Toc64988239 \h </w:instrText>
            </w:r>
            <w:r>
              <w:rPr>
                <w:noProof/>
                <w:webHidden/>
              </w:rPr>
            </w:r>
            <w:r>
              <w:rPr>
                <w:noProof/>
                <w:webHidden/>
              </w:rPr>
              <w:fldChar w:fldCharType="separate"/>
            </w:r>
            <w:r>
              <w:rPr>
                <w:noProof/>
                <w:webHidden/>
              </w:rPr>
              <w:t>3</w:t>
            </w:r>
            <w:r>
              <w:rPr>
                <w:noProof/>
                <w:webHidden/>
              </w:rPr>
              <w:fldChar w:fldCharType="end"/>
            </w:r>
          </w:hyperlink>
        </w:p>
        <w:p w14:paraId="4DE905D8" w14:textId="32F91DE7" w:rsidR="003F16B0" w:rsidRDefault="003F16B0">
          <w:pPr>
            <w:pStyle w:val="TOC1"/>
            <w:rPr>
              <w:rFonts w:eastAsiaTheme="minorEastAsia"/>
              <w:noProof/>
              <w:color w:val="auto"/>
            </w:rPr>
          </w:pPr>
          <w:hyperlink w:anchor="_Toc64988240" w:history="1">
            <w:r w:rsidRPr="006747D6">
              <w:rPr>
                <w:rStyle w:val="Hyperlink"/>
                <w:noProof/>
              </w:rPr>
              <w:t>Data Sources</w:t>
            </w:r>
            <w:r>
              <w:rPr>
                <w:noProof/>
                <w:webHidden/>
              </w:rPr>
              <w:tab/>
            </w:r>
            <w:r>
              <w:rPr>
                <w:noProof/>
                <w:webHidden/>
              </w:rPr>
              <w:fldChar w:fldCharType="begin"/>
            </w:r>
            <w:r>
              <w:rPr>
                <w:noProof/>
                <w:webHidden/>
              </w:rPr>
              <w:instrText xml:space="preserve"> PAGEREF _Toc64988240 \h </w:instrText>
            </w:r>
            <w:r>
              <w:rPr>
                <w:noProof/>
                <w:webHidden/>
              </w:rPr>
            </w:r>
            <w:r>
              <w:rPr>
                <w:noProof/>
                <w:webHidden/>
              </w:rPr>
              <w:fldChar w:fldCharType="separate"/>
            </w:r>
            <w:r>
              <w:rPr>
                <w:noProof/>
                <w:webHidden/>
              </w:rPr>
              <w:t>4</w:t>
            </w:r>
            <w:r>
              <w:rPr>
                <w:noProof/>
                <w:webHidden/>
              </w:rPr>
              <w:fldChar w:fldCharType="end"/>
            </w:r>
          </w:hyperlink>
        </w:p>
        <w:p w14:paraId="7F9219F0" w14:textId="4C6FFB15" w:rsidR="003F16B0" w:rsidRDefault="003F16B0">
          <w:pPr>
            <w:pStyle w:val="TOC2"/>
            <w:rPr>
              <w:rFonts w:eastAsiaTheme="minorEastAsia"/>
              <w:noProof/>
              <w:color w:val="auto"/>
            </w:rPr>
          </w:pPr>
          <w:hyperlink w:anchor="_Toc64988241" w:history="1">
            <w:r w:rsidRPr="006747D6">
              <w:rPr>
                <w:rStyle w:val="Hyperlink"/>
                <w:noProof/>
              </w:rPr>
              <w:t>Process and Implementation</w:t>
            </w:r>
            <w:r>
              <w:rPr>
                <w:noProof/>
                <w:webHidden/>
              </w:rPr>
              <w:tab/>
            </w:r>
            <w:r>
              <w:rPr>
                <w:noProof/>
                <w:webHidden/>
              </w:rPr>
              <w:fldChar w:fldCharType="begin"/>
            </w:r>
            <w:r>
              <w:rPr>
                <w:noProof/>
                <w:webHidden/>
              </w:rPr>
              <w:instrText xml:space="preserve"> PAGEREF _Toc64988241 \h </w:instrText>
            </w:r>
            <w:r>
              <w:rPr>
                <w:noProof/>
                <w:webHidden/>
              </w:rPr>
            </w:r>
            <w:r>
              <w:rPr>
                <w:noProof/>
                <w:webHidden/>
              </w:rPr>
              <w:fldChar w:fldCharType="separate"/>
            </w:r>
            <w:r>
              <w:rPr>
                <w:noProof/>
                <w:webHidden/>
              </w:rPr>
              <w:t>4</w:t>
            </w:r>
            <w:r>
              <w:rPr>
                <w:noProof/>
                <w:webHidden/>
              </w:rPr>
              <w:fldChar w:fldCharType="end"/>
            </w:r>
          </w:hyperlink>
        </w:p>
        <w:p w14:paraId="22FA10AA" w14:textId="51374D4B" w:rsidR="003F16B0" w:rsidRDefault="003F16B0">
          <w:pPr>
            <w:pStyle w:val="TOC2"/>
            <w:rPr>
              <w:rFonts w:eastAsiaTheme="minorEastAsia"/>
              <w:noProof/>
              <w:color w:val="auto"/>
            </w:rPr>
          </w:pPr>
          <w:hyperlink w:anchor="_Toc64988242" w:history="1">
            <w:r w:rsidRPr="006747D6">
              <w:rPr>
                <w:rStyle w:val="Hyperlink"/>
                <w:noProof/>
              </w:rPr>
              <w:t>Training Satisfaction</w:t>
            </w:r>
            <w:r>
              <w:rPr>
                <w:noProof/>
                <w:webHidden/>
              </w:rPr>
              <w:tab/>
            </w:r>
            <w:r>
              <w:rPr>
                <w:noProof/>
                <w:webHidden/>
              </w:rPr>
              <w:fldChar w:fldCharType="begin"/>
            </w:r>
            <w:r>
              <w:rPr>
                <w:noProof/>
                <w:webHidden/>
              </w:rPr>
              <w:instrText xml:space="preserve"> PAGEREF _Toc64988242 \h </w:instrText>
            </w:r>
            <w:r>
              <w:rPr>
                <w:noProof/>
                <w:webHidden/>
              </w:rPr>
            </w:r>
            <w:r>
              <w:rPr>
                <w:noProof/>
                <w:webHidden/>
              </w:rPr>
              <w:fldChar w:fldCharType="separate"/>
            </w:r>
            <w:r>
              <w:rPr>
                <w:noProof/>
                <w:webHidden/>
              </w:rPr>
              <w:t>4</w:t>
            </w:r>
            <w:r>
              <w:rPr>
                <w:noProof/>
                <w:webHidden/>
              </w:rPr>
              <w:fldChar w:fldCharType="end"/>
            </w:r>
          </w:hyperlink>
        </w:p>
        <w:p w14:paraId="6E5E02A0" w14:textId="4DBF10B5" w:rsidR="003F16B0" w:rsidRDefault="003F16B0">
          <w:pPr>
            <w:pStyle w:val="TOC2"/>
            <w:rPr>
              <w:rFonts w:eastAsiaTheme="minorEastAsia"/>
              <w:noProof/>
              <w:color w:val="auto"/>
            </w:rPr>
          </w:pPr>
          <w:hyperlink w:anchor="_Toc64988243" w:history="1">
            <w:r w:rsidRPr="006747D6">
              <w:rPr>
                <w:rStyle w:val="Hyperlink"/>
                <w:noProof/>
              </w:rPr>
              <w:t>Client-Level</w:t>
            </w:r>
            <w:r>
              <w:rPr>
                <w:noProof/>
                <w:webHidden/>
              </w:rPr>
              <w:tab/>
            </w:r>
            <w:r>
              <w:rPr>
                <w:noProof/>
                <w:webHidden/>
              </w:rPr>
              <w:fldChar w:fldCharType="begin"/>
            </w:r>
            <w:r>
              <w:rPr>
                <w:noProof/>
                <w:webHidden/>
              </w:rPr>
              <w:instrText xml:space="preserve"> PAGEREF _Toc64988243 \h </w:instrText>
            </w:r>
            <w:r>
              <w:rPr>
                <w:noProof/>
                <w:webHidden/>
              </w:rPr>
            </w:r>
            <w:r>
              <w:rPr>
                <w:noProof/>
                <w:webHidden/>
              </w:rPr>
              <w:fldChar w:fldCharType="separate"/>
            </w:r>
            <w:r>
              <w:rPr>
                <w:noProof/>
                <w:webHidden/>
              </w:rPr>
              <w:t>4</w:t>
            </w:r>
            <w:r>
              <w:rPr>
                <w:noProof/>
                <w:webHidden/>
              </w:rPr>
              <w:fldChar w:fldCharType="end"/>
            </w:r>
          </w:hyperlink>
        </w:p>
        <w:p w14:paraId="2797AF29" w14:textId="0BDF89F4" w:rsidR="003F16B0" w:rsidRDefault="003F16B0">
          <w:pPr>
            <w:pStyle w:val="TOC2"/>
            <w:rPr>
              <w:rFonts w:eastAsiaTheme="minorEastAsia"/>
              <w:noProof/>
              <w:color w:val="auto"/>
            </w:rPr>
          </w:pPr>
          <w:hyperlink w:anchor="_Toc64988244" w:history="1">
            <w:r w:rsidRPr="006747D6">
              <w:rPr>
                <w:rStyle w:val="Hyperlink"/>
                <w:noProof/>
              </w:rPr>
              <w:t>Site-Level</w:t>
            </w:r>
            <w:r>
              <w:rPr>
                <w:noProof/>
                <w:webHidden/>
              </w:rPr>
              <w:tab/>
            </w:r>
            <w:r>
              <w:rPr>
                <w:noProof/>
                <w:webHidden/>
              </w:rPr>
              <w:fldChar w:fldCharType="begin"/>
            </w:r>
            <w:r>
              <w:rPr>
                <w:noProof/>
                <w:webHidden/>
              </w:rPr>
              <w:instrText xml:space="preserve"> PAGEREF _Toc64988244 \h </w:instrText>
            </w:r>
            <w:r>
              <w:rPr>
                <w:noProof/>
                <w:webHidden/>
              </w:rPr>
            </w:r>
            <w:r>
              <w:rPr>
                <w:noProof/>
                <w:webHidden/>
              </w:rPr>
              <w:fldChar w:fldCharType="separate"/>
            </w:r>
            <w:r>
              <w:rPr>
                <w:noProof/>
                <w:webHidden/>
              </w:rPr>
              <w:t>5</w:t>
            </w:r>
            <w:r>
              <w:rPr>
                <w:noProof/>
                <w:webHidden/>
              </w:rPr>
              <w:fldChar w:fldCharType="end"/>
            </w:r>
          </w:hyperlink>
        </w:p>
        <w:p w14:paraId="01277544" w14:textId="71C96D3A" w:rsidR="003F16B0" w:rsidRDefault="003F16B0">
          <w:pPr>
            <w:pStyle w:val="TOC3"/>
            <w:rPr>
              <w:rFonts w:eastAsiaTheme="minorEastAsia"/>
              <w:noProof/>
              <w:color w:val="auto"/>
            </w:rPr>
          </w:pPr>
          <w:hyperlink w:anchor="_Toc64988245" w:history="1">
            <w:r w:rsidRPr="006747D6">
              <w:rPr>
                <w:rStyle w:val="Hyperlink"/>
                <w:noProof/>
              </w:rPr>
              <w:t>Pilot Site Staff Roster</w:t>
            </w:r>
            <w:r>
              <w:rPr>
                <w:noProof/>
                <w:webHidden/>
              </w:rPr>
              <w:tab/>
            </w:r>
            <w:r>
              <w:rPr>
                <w:noProof/>
                <w:webHidden/>
              </w:rPr>
              <w:fldChar w:fldCharType="begin"/>
            </w:r>
            <w:r>
              <w:rPr>
                <w:noProof/>
                <w:webHidden/>
              </w:rPr>
              <w:instrText xml:space="preserve"> PAGEREF _Toc64988245 \h </w:instrText>
            </w:r>
            <w:r>
              <w:rPr>
                <w:noProof/>
                <w:webHidden/>
              </w:rPr>
            </w:r>
            <w:r>
              <w:rPr>
                <w:noProof/>
                <w:webHidden/>
              </w:rPr>
              <w:fldChar w:fldCharType="separate"/>
            </w:r>
            <w:r>
              <w:rPr>
                <w:noProof/>
                <w:webHidden/>
              </w:rPr>
              <w:t>5</w:t>
            </w:r>
            <w:r>
              <w:rPr>
                <w:noProof/>
                <w:webHidden/>
              </w:rPr>
              <w:fldChar w:fldCharType="end"/>
            </w:r>
          </w:hyperlink>
        </w:p>
        <w:p w14:paraId="61CA5C1C" w14:textId="3D1B04CC" w:rsidR="003F16B0" w:rsidRDefault="003F16B0">
          <w:pPr>
            <w:pStyle w:val="TOC3"/>
            <w:rPr>
              <w:rFonts w:eastAsiaTheme="minorEastAsia"/>
              <w:noProof/>
              <w:color w:val="auto"/>
            </w:rPr>
          </w:pPr>
          <w:hyperlink w:anchor="_Toc64988246" w:history="1">
            <w:r w:rsidRPr="006747D6">
              <w:rPr>
                <w:rStyle w:val="Hyperlink"/>
                <w:noProof/>
              </w:rPr>
              <w:t>Pilot Site Interviews</w:t>
            </w:r>
            <w:r>
              <w:rPr>
                <w:noProof/>
                <w:webHidden/>
              </w:rPr>
              <w:tab/>
            </w:r>
            <w:r>
              <w:rPr>
                <w:noProof/>
                <w:webHidden/>
              </w:rPr>
              <w:fldChar w:fldCharType="begin"/>
            </w:r>
            <w:r>
              <w:rPr>
                <w:noProof/>
                <w:webHidden/>
              </w:rPr>
              <w:instrText xml:space="preserve"> PAGEREF _Toc64988246 \h </w:instrText>
            </w:r>
            <w:r>
              <w:rPr>
                <w:noProof/>
                <w:webHidden/>
              </w:rPr>
            </w:r>
            <w:r>
              <w:rPr>
                <w:noProof/>
                <w:webHidden/>
              </w:rPr>
              <w:fldChar w:fldCharType="separate"/>
            </w:r>
            <w:r>
              <w:rPr>
                <w:noProof/>
                <w:webHidden/>
              </w:rPr>
              <w:t>5</w:t>
            </w:r>
            <w:r>
              <w:rPr>
                <w:noProof/>
                <w:webHidden/>
              </w:rPr>
              <w:fldChar w:fldCharType="end"/>
            </w:r>
          </w:hyperlink>
        </w:p>
        <w:p w14:paraId="2B3C9709" w14:textId="49EABFB7" w:rsidR="003F16B0" w:rsidRDefault="003F16B0">
          <w:pPr>
            <w:pStyle w:val="TOC3"/>
            <w:rPr>
              <w:rFonts w:eastAsiaTheme="minorEastAsia"/>
              <w:noProof/>
              <w:color w:val="auto"/>
            </w:rPr>
          </w:pPr>
          <w:hyperlink w:anchor="_Toc64988247" w:history="1">
            <w:r w:rsidRPr="006747D6">
              <w:rPr>
                <w:rStyle w:val="Hyperlink"/>
                <w:noProof/>
              </w:rPr>
              <w:t>State- and Sub-State-Level</w:t>
            </w:r>
            <w:r>
              <w:rPr>
                <w:noProof/>
                <w:webHidden/>
              </w:rPr>
              <w:tab/>
            </w:r>
            <w:r>
              <w:rPr>
                <w:noProof/>
                <w:webHidden/>
              </w:rPr>
              <w:fldChar w:fldCharType="begin"/>
            </w:r>
            <w:r>
              <w:rPr>
                <w:noProof/>
                <w:webHidden/>
              </w:rPr>
              <w:instrText xml:space="preserve"> PAGEREF _Toc64988247 \h </w:instrText>
            </w:r>
            <w:r>
              <w:rPr>
                <w:noProof/>
                <w:webHidden/>
              </w:rPr>
            </w:r>
            <w:r>
              <w:rPr>
                <w:noProof/>
                <w:webHidden/>
              </w:rPr>
              <w:fldChar w:fldCharType="separate"/>
            </w:r>
            <w:r>
              <w:rPr>
                <w:noProof/>
                <w:webHidden/>
              </w:rPr>
              <w:t>5</w:t>
            </w:r>
            <w:r>
              <w:rPr>
                <w:noProof/>
                <w:webHidden/>
              </w:rPr>
              <w:fldChar w:fldCharType="end"/>
            </w:r>
          </w:hyperlink>
        </w:p>
        <w:p w14:paraId="4E7AF2AF" w14:textId="3532A452" w:rsidR="003F16B0" w:rsidRDefault="003F16B0">
          <w:pPr>
            <w:pStyle w:val="TOC1"/>
            <w:rPr>
              <w:rFonts w:eastAsiaTheme="minorEastAsia"/>
              <w:noProof/>
              <w:color w:val="auto"/>
            </w:rPr>
          </w:pPr>
          <w:hyperlink w:anchor="_Toc64988248" w:history="1">
            <w:r w:rsidRPr="006747D6">
              <w:rPr>
                <w:rStyle w:val="Hyperlink"/>
                <w:noProof/>
              </w:rPr>
              <w:t>Process and Implementation Progress</w:t>
            </w:r>
            <w:r>
              <w:rPr>
                <w:noProof/>
                <w:webHidden/>
              </w:rPr>
              <w:tab/>
            </w:r>
            <w:r>
              <w:rPr>
                <w:noProof/>
                <w:webHidden/>
              </w:rPr>
              <w:fldChar w:fldCharType="begin"/>
            </w:r>
            <w:r>
              <w:rPr>
                <w:noProof/>
                <w:webHidden/>
              </w:rPr>
              <w:instrText xml:space="preserve"> PAGEREF _Toc64988248 \h </w:instrText>
            </w:r>
            <w:r>
              <w:rPr>
                <w:noProof/>
                <w:webHidden/>
              </w:rPr>
            </w:r>
            <w:r>
              <w:rPr>
                <w:noProof/>
                <w:webHidden/>
              </w:rPr>
              <w:fldChar w:fldCharType="separate"/>
            </w:r>
            <w:r>
              <w:rPr>
                <w:noProof/>
                <w:webHidden/>
              </w:rPr>
              <w:t>7</w:t>
            </w:r>
            <w:r>
              <w:rPr>
                <w:noProof/>
                <w:webHidden/>
              </w:rPr>
              <w:fldChar w:fldCharType="end"/>
            </w:r>
          </w:hyperlink>
        </w:p>
        <w:p w14:paraId="5DBD092D" w14:textId="66228E6C" w:rsidR="003F16B0" w:rsidRDefault="003F16B0">
          <w:pPr>
            <w:pStyle w:val="TOC2"/>
            <w:rPr>
              <w:rFonts w:eastAsiaTheme="minorEastAsia"/>
              <w:noProof/>
              <w:color w:val="auto"/>
            </w:rPr>
          </w:pPr>
          <w:hyperlink w:anchor="_Toc64988249" w:history="1">
            <w:r w:rsidRPr="006747D6">
              <w:rPr>
                <w:rStyle w:val="Hyperlink"/>
                <w:noProof/>
              </w:rPr>
              <w:t>Core Activities</w:t>
            </w:r>
            <w:r>
              <w:rPr>
                <w:noProof/>
                <w:webHidden/>
              </w:rPr>
              <w:tab/>
            </w:r>
            <w:r>
              <w:rPr>
                <w:noProof/>
                <w:webHidden/>
              </w:rPr>
              <w:fldChar w:fldCharType="begin"/>
            </w:r>
            <w:r>
              <w:rPr>
                <w:noProof/>
                <w:webHidden/>
              </w:rPr>
              <w:instrText xml:space="preserve"> PAGEREF _Toc64988249 \h </w:instrText>
            </w:r>
            <w:r>
              <w:rPr>
                <w:noProof/>
                <w:webHidden/>
              </w:rPr>
            </w:r>
            <w:r>
              <w:rPr>
                <w:noProof/>
                <w:webHidden/>
              </w:rPr>
              <w:fldChar w:fldCharType="separate"/>
            </w:r>
            <w:r>
              <w:rPr>
                <w:noProof/>
                <w:webHidden/>
              </w:rPr>
              <w:t>7</w:t>
            </w:r>
            <w:r>
              <w:rPr>
                <w:noProof/>
                <w:webHidden/>
              </w:rPr>
              <w:fldChar w:fldCharType="end"/>
            </w:r>
          </w:hyperlink>
        </w:p>
        <w:p w14:paraId="3815E8E0" w14:textId="311551D2" w:rsidR="003F16B0" w:rsidRDefault="003F16B0">
          <w:pPr>
            <w:pStyle w:val="TOC2"/>
            <w:rPr>
              <w:rFonts w:eastAsiaTheme="minorEastAsia"/>
              <w:noProof/>
              <w:color w:val="auto"/>
            </w:rPr>
          </w:pPr>
          <w:hyperlink w:anchor="_Toc64988250" w:history="1">
            <w:r w:rsidRPr="006747D6">
              <w:rPr>
                <w:rStyle w:val="Hyperlink"/>
                <w:noProof/>
              </w:rPr>
              <w:t>Interagency Council and Its Subcommittees</w:t>
            </w:r>
            <w:r>
              <w:rPr>
                <w:noProof/>
                <w:webHidden/>
              </w:rPr>
              <w:tab/>
            </w:r>
            <w:r>
              <w:rPr>
                <w:noProof/>
                <w:webHidden/>
              </w:rPr>
              <w:fldChar w:fldCharType="begin"/>
            </w:r>
            <w:r>
              <w:rPr>
                <w:noProof/>
                <w:webHidden/>
              </w:rPr>
              <w:instrText xml:space="preserve"> PAGEREF _Toc64988250 \h </w:instrText>
            </w:r>
            <w:r>
              <w:rPr>
                <w:noProof/>
                <w:webHidden/>
              </w:rPr>
            </w:r>
            <w:r>
              <w:rPr>
                <w:noProof/>
                <w:webHidden/>
              </w:rPr>
              <w:fldChar w:fldCharType="separate"/>
            </w:r>
            <w:r>
              <w:rPr>
                <w:noProof/>
                <w:webHidden/>
              </w:rPr>
              <w:t>8</w:t>
            </w:r>
            <w:r>
              <w:rPr>
                <w:noProof/>
                <w:webHidden/>
              </w:rPr>
              <w:fldChar w:fldCharType="end"/>
            </w:r>
          </w:hyperlink>
        </w:p>
        <w:p w14:paraId="3B93B7EF" w14:textId="4775F426" w:rsidR="003F16B0" w:rsidRDefault="003F16B0">
          <w:pPr>
            <w:pStyle w:val="TOC3"/>
            <w:rPr>
              <w:rFonts w:eastAsiaTheme="minorEastAsia"/>
              <w:noProof/>
              <w:color w:val="auto"/>
            </w:rPr>
          </w:pPr>
          <w:hyperlink w:anchor="_Toc64988251" w:history="1">
            <w:r w:rsidRPr="006747D6">
              <w:rPr>
                <w:rStyle w:val="Hyperlink"/>
                <w:noProof/>
              </w:rPr>
              <w:t>Interagency Council Member Survey</w:t>
            </w:r>
            <w:r>
              <w:rPr>
                <w:noProof/>
                <w:webHidden/>
              </w:rPr>
              <w:tab/>
            </w:r>
            <w:r>
              <w:rPr>
                <w:noProof/>
                <w:webHidden/>
              </w:rPr>
              <w:fldChar w:fldCharType="begin"/>
            </w:r>
            <w:r>
              <w:rPr>
                <w:noProof/>
                <w:webHidden/>
              </w:rPr>
              <w:instrText xml:space="preserve"> PAGEREF _Toc64988251 \h </w:instrText>
            </w:r>
            <w:r>
              <w:rPr>
                <w:noProof/>
                <w:webHidden/>
              </w:rPr>
            </w:r>
            <w:r>
              <w:rPr>
                <w:noProof/>
                <w:webHidden/>
              </w:rPr>
              <w:fldChar w:fldCharType="separate"/>
            </w:r>
            <w:r>
              <w:rPr>
                <w:noProof/>
                <w:webHidden/>
              </w:rPr>
              <w:t>8</w:t>
            </w:r>
            <w:r>
              <w:rPr>
                <w:noProof/>
                <w:webHidden/>
              </w:rPr>
              <w:fldChar w:fldCharType="end"/>
            </w:r>
          </w:hyperlink>
        </w:p>
        <w:p w14:paraId="2D042E82" w14:textId="480A43B2" w:rsidR="003F16B0" w:rsidRDefault="003F16B0">
          <w:pPr>
            <w:pStyle w:val="TOC3"/>
            <w:rPr>
              <w:rFonts w:eastAsiaTheme="minorEastAsia"/>
              <w:noProof/>
              <w:color w:val="auto"/>
            </w:rPr>
          </w:pPr>
          <w:hyperlink w:anchor="_Toc64988252" w:history="1">
            <w:r w:rsidRPr="006747D6">
              <w:rPr>
                <w:rStyle w:val="Hyperlink"/>
                <w:noProof/>
              </w:rPr>
              <w:t>Subcommittees and Workgroups</w:t>
            </w:r>
            <w:r>
              <w:rPr>
                <w:noProof/>
                <w:webHidden/>
              </w:rPr>
              <w:tab/>
            </w:r>
            <w:r>
              <w:rPr>
                <w:noProof/>
                <w:webHidden/>
              </w:rPr>
              <w:fldChar w:fldCharType="begin"/>
            </w:r>
            <w:r>
              <w:rPr>
                <w:noProof/>
                <w:webHidden/>
              </w:rPr>
              <w:instrText xml:space="preserve"> PAGEREF _Toc64988252 \h </w:instrText>
            </w:r>
            <w:r>
              <w:rPr>
                <w:noProof/>
                <w:webHidden/>
              </w:rPr>
            </w:r>
            <w:r>
              <w:rPr>
                <w:noProof/>
                <w:webHidden/>
              </w:rPr>
              <w:fldChar w:fldCharType="separate"/>
            </w:r>
            <w:r>
              <w:rPr>
                <w:noProof/>
                <w:webHidden/>
              </w:rPr>
              <w:t>10</w:t>
            </w:r>
            <w:r>
              <w:rPr>
                <w:noProof/>
                <w:webHidden/>
              </w:rPr>
              <w:fldChar w:fldCharType="end"/>
            </w:r>
          </w:hyperlink>
        </w:p>
        <w:p w14:paraId="1478ED2C" w14:textId="72D6757C" w:rsidR="003F16B0" w:rsidRDefault="003F16B0">
          <w:pPr>
            <w:pStyle w:val="TOC2"/>
            <w:rPr>
              <w:rFonts w:eastAsiaTheme="minorEastAsia"/>
              <w:noProof/>
              <w:color w:val="auto"/>
            </w:rPr>
          </w:pPr>
          <w:hyperlink w:anchor="_Toc64988253" w:history="1">
            <w:r w:rsidRPr="006747D6">
              <w:rPr>
                <w:rStyle w:val="Hyperlink"/>
                <w:noProof/>
              </w:rPr>
              <w:t>Pilot Sites</w:t>
            </w:r>
            <w:r>
              <w:rPr>
                <w:noProof/>
                <w:webHidden/>
              </w:rPr>
              <w:tab/>
            </w:r>
            <w:r>
              <w:rPr>
                <w:noProof/>
                <w:webHidden/>
              </w:rPr>
              <w:fldChar w:fldCharType="begin"/>
            </w:r>
            <w:r>
              <w:rPr>
                <w:noProof/>
                <w:webHidden/>
              </w:rPr>
              <w:instrText xml:space="preserve"> PAGEREF _Toc64988253 \h </w:instrText>
            </w:r>
            <w:r>
              <w:rPr>
                <w:noProof/>
                <w:webHidden/>
              </w:rPr>
            </w:r>
            <w:r>
              <w:rPr>
                <w:noProof/>
                <w:webHidden/>
              </w:rPr>
              <w:fldChar w:fldCharType="separate"/>
            </w:r>
            <w:r>
              <w:rPr>
                <w:noProof/>
                <w:webHidden/>
              </w:rPr>
              <w:t>11</w:t>
            </w:r>
            <w:r>
              <w:rPr>
                <w:noProof/>
                <w:webHidden/>
              </w:rPr>
              <w:fldChar w:fldCharType="end"/>
            </w:r>
          </w:hyperlink>
        </w:p>
        <w:p w14:paraId="7E2F7072" w14:textId="75D6B983" w:rsidR="003F16B0" w:rsidRDefault="003F16B0">
          <w:pPr>
            <w:pStyle w:val="TOC3"/>
            <w:rPr>
              <w:rFonts w:eastAsiaTheme="minorEastAsia"/>
              <w:noProof/>
              <w:color w:val="auto"/>
            </w:rPr>
          </w:pPr>
          <w:hyperlink w:anchor="_Toc64988254" w:history="1">
            <w:r w:rsidRPr="006747D6">
              <w:rPr>
                <w:rStyle w:val="Hyperlink"/>
                <w:noProof/>
              </w:rPr>
              <w:t>Greater Nashua Mental Health Center</w:t>
            </w:r>
            <w:r>
              <w:rPr>
                <w:noProof/>
                <w:webHidden/>
              </w:rPr>
              <w:tab/>
            </w:r>
            <w:r>
              <w:rPr>
                <w:noProof/>
                <w:webHidden/>
              </w:rPr>
              <w:fldChar w:fldCharType="begin"/>
            </w:r>
            <w:r>
              <w:rPr>
                <w:noProof/>
                <w:webHidden/>
              </w:rPr>
              <w:instrText xml:space="preserve"> PAGEREF _Toc64988254 \h </w:instrText>
            </w:r>
            <w:r>
              <w:rPr>
                <w:noProof/>
                <w:webHidden/>
              </w:rPr>
            </w:r>
            <w:r>
              <w:rPr>
                <w:noProof/>
                <w:webHidden/>
              </w:rPr>
              <w:fldChar w:fldCharType="separate"/>
            </w:r>
            <w:r>
              <w:rPr>
                <w:noProof/>
                <w:webHidden/>
              </w:rPr>
              <w:t>11</w:t>
            </w:r>
            <w:r>
              <w:rPr>
                <w:noProof/>
                <w:webHidden/>
              </w:rPr>
              <w:fldChar w:fldCharType="end"/>
            </w:r>
          </w:hyperlink>
        </w:p>
        <w:p w14:paraId="7CF9BFD8" w14:textId="3C02EF6F" w:rsidR="003F16B0" w:rsidRDefault="003F16B0">
          <w:pPr>
            <w:pStyle w:val="TOC3"/>
            <w:rPr>
              <w:rFonts w:eastAsiaTheme="minorEastAsia"/>
              <w:noProof/>
              <w:color w:val="auto"/>
            </w:rPr>
          </w:pPr>
          <w:hyperlink w:anchor="_Toc64988255" w:history="1">
            <w:r w:rsidRPr="006747D6">
              <w:rPr>
                <w:rStyle w:val="Hyperlink"/>
                <w:noProof/>
              </w:rPr>
              <w:t>Granite Pathways</w:t>
            </w:r>
            <w:r>
              <w:rPr>
                <w:noProof/>
                <w:webHidden/>
              </w:rPr>
              <w:tab/>
            </w:r>
            <w:r>
              <w:rPr>
                <w:noProof/>
                <w:webHidden/>
              </w:rPr>
              <w:fldChar w:fldCharType="begin"/>
            </w:r>
            <w:r>
              <w:rPr>
                <w:noProof/>
                <w:webHidden/>
              </w:rPr>
              <w:instrText xml:space="preserve"> PAGEREF _Toc64988255 \h </w:instrText>
            </w:r>
            <w:r>
              <w:rPr>
                <w:noProof/>
                <w:webHidden/>
              </w:rPr>
            </w:r>
            <w:r>
              <w:rPr>
                <w:noProof/>
                <w:webHidden/>
              </w:rPr>
              <w:fldChar w:fldCharType="separate"/>
            </w:r>
            <w:r>
              <w:rPr>
                <w:noProof/>
                <w:webHidden/>
              </w:rPr>
              <w:t>12</w:t>
            </w:r>
            <w:r>
              <w:rPr>
                <w:noProof/>
                <w:webHidden/>
              </w:rPr>
              <w:fldChar w:fldCharType="end"/>
            </w:r>
          </w:hyperlink>
        </w:p>
        <w:p w14:paraId="1441BA2E" w14:textId="08C2079E" w:rsidR="003F16B0" w:rsidRDefault="003F16B0">
          <w:pPr>
            <w:pStyle w:val="TOC3"/>
            <w:rPr>
              <w:rFonts w:eastAsiaTheme="minorEastAsia"/>
              <w:noProof/>
              <w:color w:val="auto"/>
            </w:rPr>
          </w:pPr>
          <w:hyperlink w:anchor="_Toc64988256" w:history="1">
            <w:r w:rsidRPr="006747D6">
              <w:rPr>
                <w:rStyle w:val="Hyperlink"/>
                <w:noProof/>
              </w:rPr>
              <w:t>Implementation Progress and Fidelity</w:t>
            </w:r>
            <w:r>
              <w:rPr>
                <w:noProof/>
                <w:webHidden/>
              </w:rPr>
              <w:tab/>
            </w:r>
            <w:r>
              <w:rPr>
                <w:noProof/>
                <w:webHidden/>
              </w:rPr>
              <w:fldChar w:fldCharType="begin"/>
            </w:r>
            <w:r>
              <w:rPr>
                <w:noProof/>
                <w:webHidden/>
              </w:rPr>
              <w:instrText xml:space="preserve"> PAGEREF _Toc64988256 \h </w:instrText>
            </w:r>
            <w:r>
              <w:rPr>
                <w:noProof/>
                <w:webHidden/>
              </w:rPr>
            </w:r>
            <w:r>
              <w:rPr>
                <w:noProof/>
                <w:webHidden/>
              </w:rPr>
              <w:fldChar w:fldCharType="separate"/>
            </w:r>
            <w:r>
              <w:rPr>
                <w:noProof/>
                <w:webHidden/>
              </w:rPr>
              <w:t>12</w:t>
            </w:r>
            <w:r>
              <w:rPr>
                <w:noProof/>
                <w:webHidden/>
              </w:rPr>
              <w:fldChar w:fldCharType="end"/>
            </w:r>
          </w:hyperlink>
        </w:p>
        <w:p w14:paraId="3890422A" w14:textId="6427B749" w:rsidR="003F16B0" w:rsidRDefault="003F16B0">
          <w:pPr>
            <w:pStyle w:val="TOC2"/>
            <w:rPr>
              <w:rFonts w:eastAsiaTheme="minorEastAsia"/>
              <w:noProof/>
              <w:color w:val="auto"/>
            </w:rPr>
          </w:pPr>
          <w:hyperlink w:anchor="_Toc64988257" w:history="1">
            <w:r w:rsidRPr="006747D6">
              <w:rPr>
                <w:rStyle w:val="Hyperlink"/>
                <w:noProof/>
              </w:rPr>
              <w:t>Training Satisfaction</w:t>
            </w:r>
            <w:r>
              <w:rPr>
                <w:noProof/>
                <w:webHidden/>
              </w:rPr>
              <w:tab/>
            </w:r>
            <w:r>
              <w:rPr>
                <w:noProof/>
                <w:webHidden/>
              </w:rPr>
              <w:fldChar w:fldCharType="begin"/>
            </w:r>
            <w:r>
              <w:rPr>
                <w:noProof/>
                <w:webHidden/>
              </w:rPr>
              <w:instrText xml:space="preserve"> PAGEREF _Toc64988257 \h </w:instrText>
            </w:r>
            <w:r>
              <w:rPr>
                <w:noProof/>
                <w:webHidden/>
              </w:rPr>
            </w:r>
            <w:r>
              <w:rPr>
                <w:noProof/>
                <w:webHidden/>
              </w:rPr>
              <w:fldChar w:fldCharType="separate"/>
            </w:r>
            <w:r>
              <w:rPr>
                <w:noProof/>
                <w:webHidden/>
              </w:rPr>
              <w:t>13</w:t>
            </w:r>
            <w:r>
              <w:rPr>
                <w:noProof/>
                <w:webHidden/>
              </w:rPr>
              <w:fldChar w:fldCharType="end"/>
            </w:r>
          </w:hyperlink>
        </w:p>
        <w:p w14:paraId="11471BBA" w14:textId="1B57BFF0" w:rsidR="003F16B0" w:rsidRDefault="003F16B0">
          <w:pPr>
            <w:pStyle w:val="TOC1"/>
            <w:rPr>
              <w:rFonts w:eastAsiaTheme="minorEastAsia"/>
              <w:noProof/>
              <w:color w:val="auto"/>
            </w:rPr>
          </w:pPr>
          <w:hyperlink w:anchor="_Toc64988258" w:history="1">
            <w:r w:rsidRPr="006747D6">
              <w:rPr>
                <w:rStyle w:val="Hyperlink"/>
                <w:noProof/>
              </w:rPr>
              <w:t>Client-Level Analysis Results</w:t>
            </w:r>
            <w:r>
              <w:rPr>
                <w:noProof/>
                <w:webHidden/>
              </w:rPr>
              <w:tab/>
            </w:r>
            <w:r>
              <w:rPr>
                <w:noProof/>
                <w:webHidden/>
              </w:rPr>
              <w:fldChar w:fldCharType="begin"/>
            </w:r>
            <w:r>
              <w:rPr>
                <w:noProof/>
                <w:webHidden/>
              </w:rPr>
              <w:instrText xml:space="preserve"> PAGEREF _Toc64988258 \h </w:instrText>
            </w:r>
            <w:r>
              <w:rPr>
                <w:noProof/>
                <w:webHidden/>
              </w:rPr>
            </w:r>
            <w:r>
              <w:rPr>
                <w:noProof/>
                <w:webHidden/>
              </w:rPr>
              <w:fldChar w:fldCharType="separate"/>
            </w:r>
            <w:r>
              <w:rPr>
                <w:noProof/>
                <w:webHidden/>
              </w:rPr>
              <w:t>15</w:t>
            </w:r>
            <w:r>
              <w:rPr>
                <w:noProof/>
                <w:webHidden/>
              </w:rPr>
              <w:fldChar w:fldCharType="end"/>
            </w:r>
          </w:hyperlink>
        </w:p>
        <w:p w14:paraId="6FFF7992" w14:textId="504843B3" w:rsidR="003F16B0" w:rsidRDefault="003F16B0">
          <w:pPr>
            <w:pStyle w:val="TOC2"/>
            <w:rPr>
              <w:rFonts w:eastAsiaTheme="minorEastAsia"/>
              <w:noProof/>
              <w:color w:val="auto"/>
            </w:rPr>
          </w:pPr>
          <w:hyperlink w:anchor="_Toc64988259" w:history="1">
            <w:r w:rsidRPr="006747D6">
              <w:rPr>
                <w:rStyle w:val="Hyperlink"/>
                <w:noProof/>
              </w:rPr>
              <w:t>Client Characteristics</w:t>
            </w:r>
            <w:r>
              <w:rPr>
                <w:noProof/>
                <w:webHidden/>
              </w:rPr>
              <w:tab/>
            </w:r>
            <w:r>
              <w:rPr>
                <w:noProof/>
                <w:webHidden/>
              </w:rPr>
              <w:fldChar w:fldCharType="begin"/>
            </w:r>
            <w:r>
              <w:rPr>
                <w:noProof/>
                <w:webHidden/>
              </w:rPr>
              <w:instrText xml:space="preserve"> PAGEREF _Toc64988259 \h </w:instrText>
            </w:r>
            <w:r>
              <w:rPr>
                <w:noProof/>
                <w:webHidden/>
              </w:rPr>
            </w:r>
            <w:r>
              <w:rPr>
                <w:noProof/>
                <w:webHidden/>
              </w:rPr>
              <w:fldChar w:fldCharType="separate"/>
            </w:r>
            <w:r>
              <w:rPr>
                <w:noProof/>
                <w:webHidden/>
              </w:rPr>
              <w:t>15</w:t>
            </w:r>
            <w:r>
              <w:rPr>
                <w:noProof/>
                <w:webHidden/>
              </w:rPr>
              <w:fldChar w:fldCharType="end"/>
            </w:r>
          </w:hyperlink>
        </w:p>
        <w:p w14:paraId="36E7CF6C" w14:textId="786BB004" w:rsidR="003F16B0" w:rsidRDefault="003F16B0">
          <w:pPr>
            <w:pStyle w:val="TOC2"/>
            <w:rPr>
              <w:rFonts w:eastAsiaTheme="minorEastAsia"/>
              <w:noProof/>
              <w:color w:val="auto"/>
            </w:rPr>
          </w:pPr>
          <w:hyperlink w:anchor="_Toc64988260" w:history="1">
            <w:r w:rsidRPr="006747D6">
              <w:rPr>
                <w:rStyle w:val="Hyperlink"/>
                <w:noProof/>
              </w:rPr>
              <w:t>Planned Services</w:t>
            </w:r>
            <w:r>
              <w:rPr>
                <w:noProof/>
                <w:webHidden/>
              </w:rPr>
              <w:tab/>
            </w:r>
            <w:r>
              <w:rPr>
                <w:noProof/>
                <w:webHidden/>
              </w:rPr>
              <w:fldChar w:fldCharType="begin"/>
            </w:r>
            <w:r>
              <w:rPr>
                <w:noProof/>
                <w:webHidden/>
              </w:rPr>
              <w:instrText xml:space="preserve"> PAGEREF _Toc64988260 \h </w:instrText>
            </w:r>
            <w:r>
              <w:rPr>
                <w:noProof/>
                <w:webHidden/>
              </w:rPr>
            </w:r>
            <w:r>
              <w:rPr>
                <w:noProof/>
                <w:webHidden/>
              </w:rPr>
              <w:fldChar w:fldCharType="separate"/>
            </w:r>
            <w:r>
              <w:rPr>
                <w:noProof/>
                <w:webHidden/>
              </w:rPr>
              <w:t>19</w:t>
            </w:r>
            <w:r>
              <w:rPr>
                <w:noProof/>
                <w:webHidden/>
              </w:rPr>
              <w:fldChar w:fldCharType="end"/>
            </w:r>
          </w:hyperlink>
        </w:p>
        <w:p w14:paraId="760D45F6" w14:textId="03D8F60B" w:rsidR="003F16B0" w:rsidRDefault="003F16B0">
          <w:pPr>
            <w:pStyle w:val="TOC2"/>
            <w:rPr>
              <w:rFonts w:eastAsiaTheme="minorEastAsia"/>
              <w:noProof/>
              <w:color w:val="auto"/>
            </w:rPr>
          </w:pPr>
          <w:hyperlink w:anchor="_Toc64988261" w:history="1">
            <w:r w:rsidRPr="006747D6">
              <w:rPr>
                <w:rStyle w:val="Hyperlink"/>
                <w:noProof/>
              </w:rPr>
              <w:t>Preliminary Outcome Analysis</w:t>
            </w:r>
            <w:r>
              <w:rPr>
                <w:noProof/>
                <w:webHidden/>
              </w:rPr>
              <w:tab/>
            </w:r>
            <w:r>
              <w:rPr>
                <w:noProof/>
                <w:webHidden/>
              </w:rPr>
              <w:fldChar w:fldCharType="begin"/>
            </w:r>
            <w:r>
              <w:rPr>
                <w:noProof/>
                <w:webHidden/>
              </w:rPr>
              <w:instrText xml:space="preserve"> PAGEREF _Toc64988261 \h </w:instrText>
            </w:r>
            <w:r>
              <w:rPr>
                <w:noProof/>
                <w:webHidden/>
              </w:rPr>
            </w:r>
            <w:r>
              <w:rPr>
                <w:noProof/>
                <w:webHidden/>
              </w:rPr>
              <w:fldChar w:fldCharType="separate"/>
            </w:r>
            <w:r>
              <w:rPr>
                <w:noProof/>
                <w:webHidden/>
              </w:rPr>
              <w:t>22</w:t>
            </w:r>
            <w:r>
              <w:rPr>
                <w:noProof/>
                <w:webHidden/>
              </w:rPr>
              <w:fldChar w:fldCharType="end"/>
            </w:r>
          </w:hyperlink>
        </w:p>
        <w:p w14:paraId="7641E580" w14:textId="4FCEFC05" w:rsidR="003F16B0" w:rsidRDefault="003F16B0">
          <w:pPr>
            <w:pStyle w:val="TOC1"/>
            <w:rPr>
              <w:rFonts w:eastAsiaTheme="minorEastAsia"/>
              <w:noProof/>
              <w:color w:val="auto"/>
            </w:rPr>
          </w:pPr>
          <w:hyperlink w:anchor="_Toc64988262" w:history="1">
            <w:r w:rsidRPr="006747D6">
              <w:rPr>
                <w:rStyle w:val="Hyperlink"/>
                <w:noProof/>
              </w:rPr>
              <w:t>Sub-State-Level Analysis Results</w:t>
            </w:r>
            <w:r>
              <w:rPr>
                <w:noProof/>
                <w:webHidden/>
              </w:rPr>
              <w:tab/>
            </w:r>
            <w:r>
              <w:rPr>
                <w:noProof/>
                <w:webHidden/>
              </w:rPr>
              <w:fldChar w:fldCharType="begin"/>
            </w:r>
            <w:r>
              <w:rPr>
                <w:noProof/>
                <w:webHidden/>
              </w:rPr>
              <w:instrText xml:space="preserve"> PAGEREF _Toc64988262 \h </w:instrText>
            </w:r>
            <w:r>
              <w:rPr>
                <w:noProof/>
                <w:webHidden/>
              </w:rPr>
            </w:r>
            <w:r>
              <w:rPr>
                <w:noProof/>
                <w:webHidden/>
              </w:rPr>
              <w:fldChar w:fldCharType="separate"/>
            </w:r>
            <w:r>
              <w:rPr>
                <w:noProof/>
                <w:webHidden/>
              </w:rPr>
              <w:t>26</w:t>
            </w:r>
            <w:r>
              <w:rPr>
                <w:noProof/>
                <w:webHidden/>
              </w:rPr>
              <w:fldChar w:fldCharType="end"/>
            </w:r>
          </w:hyperlink>
        </w:p>
        <w:p w14:paraId="590E5882" w14:textId="506A7978" w:rsidR="003F16B0" w:rsidRDefault="003F16B0">
          <w:pPr>
            <w:pStyle w:val="TOC1"/>
            <w:rPr>
              <w:rFonts w:eastAsiaTheme="minorEastAsia"/>
              <w:noProof/>
              <w:color w:val="auto"/>
            </w:rPr>
          </w:pPr>
          <w:hyperlink w:anchor="_Toc64988263" w:history="1">
            <w:r w:rsidRPr="006747D6">
              <w:rPr>
                <w:rStyle w:val="Hyperlink"/>
                <w:noProof/>
              </w:rPr>
              <w:t>State-Level Analysis Results</w:t>
            </w:r>
            <w:r>
              <w:rPr>
                <w:noProof/>
                <w:webHidden/>
              </w:rPr>
              <w:tab/>
            </w:r>
            <w:r>
              <w:rPr>
                <w:noProof/>
                <w:webHidden/>
              </w:rPr>
              <w:fldChar w:fldCharType="begin"/>
            </w:r>
            <w:r>
              <w:rPr>
                <w:noProof/>
                <w:webHidden/>
              </w:rPr>
              <w:instrText xml:space="preserve"> PAGEREF _Toc64988263 \h </w:instrText>
            </w:r>
            <w:r>
              <w:rPr>
                <w:noProof/>
                <w:webHidden/>
              </w:rPr>
            </w:r>
            <w:r>
              <w:rPr>
                <w:noProof/>
                <w:webHidden/>
              </w:rPr>
              <w:fldChar w:fldCharType="separate"/>
            </w:r>
            <w:r>
              <w:rPr>
                <w:noProof/>
                <w:webHidden/>
              </w:rPr>
              <w:t>30</w:t>
            </w:r>
            <w:r>
              <w:rPr>
                <w:noProof/>
                <w:webHidden/>
              </w:rPr>
              <w:fldChar w:fldCharType="end"/>
            </w:r>
          </w:hyperlink>
        </w:p>
        <w:p w14:paraId="16665A8E" w14:textId="78F00AF7" w:rsidR="003F16B0" w:rsidRDefault="003F16B0">
          <w:pPr>
            <w:pStyle w:val="TOC3"/>
            <w:rPr>
              <w:rFonts w:eastAsiaTheme="minorEastAsia"/>
              <w:noProof/>
              <w:color w:val="auto"/>
            </w:rPr>
          </w:pPr>
          <w:hyperlink w:anchor="_Toc64988264" w:history="1">
            <w:r w:rsidRPr="006747D6">
              <w:rPr>
                <w:rStyle w:val="Hyperlink"/>
                <w:rFonts w:eastAsia="Calibri"/>
                <w:noProof/>
              </w:rPr>
              <w:t>Substance Use</w:t>
            </w:r>
            <w:r>
              <w:rPr>
                <w:noProof/>
                <w:webHidden/>
              </w:rPr>
              <w:tab/>
            </w:r>
            <w:r>
              <w:rPr>
                <w:noProof/>
                <w:webHidden/>
              </w:rPr>
              <w:fldChar w:fldCharType="begin"/>
            </w:r>
            <w:r>
              <w:rPr>
                <w:noProof/>
                <w:webHidden/>
              </w:rPr>
              <w:instrText xml:space="preserve"> PAGEREF _Toc64988264 \h </w:instrText>
            </w:r>
            <w:r>
              <w:rPr>
                <w:noProof/>
                <w:webHidden/>
              </w:rPr>
            </w:r>
            <w:r>
              <w:rPr>
                <w:noProof/>
                <w:webHidden/>
              </w:rPr>
              <w:fldChar w:fldCharType="separate"/>
            </w:r>
            <w:r>
              <w:rPr>
                <w:noProof/>
                <w:webHidden/>
              </w:rPr>
              <w:t>31</w:t>
            </w:r>
            <w:r>
              <w:rPr>
                <w:noProof/>
                <w:webHidden/>
              </w:rPr>
              <w:fldChar w:fldCharType="end"/>
            </w:r>
          </w:hyperlink>
        </w:p>
        <w:p w14:paraId="6FACBF91" w14:textId="12A84591" w:rsidR="003F16B0" w:rsidRDefault="003F16B0">
          <w:pPr>
            <w:pStyle w:val="TOC3"/>
            <w:rPr>
              <w:rFonts w:eastAsiaTheme="minorEastAsia"/>
              <w:noProof/>
              <w:color w:val="auto"/>
            </w:rPr>
          </w:pPr>
          <w:hyperlink w:anchor="_Toc64988265" w:history="1">
            <w:r w:rsidRPr="006747D6">
              <w:rPr>
                <w:rStyle w:val="Hyperlink"/>
                <w:rFonts w:eastAsia="Calibri"/>
                <w:noProof/>
              </w:rPr>
              <w:t>Mental Health</w:t>
            </w:r>
            <w:r>
              <w:rPr>
                <w:noProof/>
                <w:webHidden/>
              </w:rPr>
              <w:tab/>
            </w:r>
            <w:r>
              <w:rPr>
                <w:noProof/>
                <w:webHidden/>
              </w:rPr>
              <w:fldChar w:fldCharType="begin"/>
            </w:r>
            <w:r>
              <w:rPr>
                <w:noProof/>
                <w:webHidden/>
              </w:rPr>
              <w:instrText xml:space="preserve"> PAGEREF _Toc64988265 \h </w:instrText>
            </w:r>
            <w:r>
              <w:rPr>
                <w:noProof/>
                <w:webHidden/>
              </w:rPr>
            </w:r>
            <w:r>
              <w:rPr>
                <w:noProof/>
                <w:webHidden/>
              </w:rPr>
              <w:fldChar w:fldCharType="separate"/>
            </w:r>
            <w:r>
              <w:rPr>
                <w:noProof/>
                <w:webHidden/>
              </w:rPr>
              <w:t>35</w:t>
            </w:r>
            <w:r>
              <w:rPr>
                <w:noProof/>
                <w:webHidden/>
              </w:rPr>
              <w:fldChar w:fldCharType="end"/>
            </w:r>
          </w:hyperlink>
        </w:p>
        <w:p w14:paraId="513E108A" w14:textId="1681002B" w:rsidR="003F16B0" w:rsidRDefault="003F16B0">
          <w:pPr>
            <w:pStyle w:val="TOC3"/>
            <w:rPr>
              <w:rFonts w:eastAsiaTheme="minorEastAsia"/>
              <w:noProof/>
              <w:color w:val="auto"/>
            </w:rPr>
          </w:pPr>
          <w:hyperlink w:anchor="_Toc64988266" w:history="1">
            <w:r w:rsidRPr="006747D6">
              <w:rPr>
                <w:rStyle w:val="Hyperlink"/>
                <w:rFonts w:eastAsia="Calibri"/>
                <w:noProof/>
              </w:rPr>
              <w:t>Drug- and Alcohol-Related Crime</w:t>
            </w:r>
            <w:r>
              <w:rPr>
                <w:noProof/>
                <w:webHidden/>
              </w:rPr>
              <w:tab/>
            </w:r>
            <w:r>
              <w:rPr>
                <w:noProof/>
                <w:webHidden/>
              </w:rPr>
              <w:fldChar w:fldCharType="begin"/>
            </w:r>
            <w:r>
              <w:rPr>
                <w:noProof/>
                <w:webHidden/>
              </w:rPr>
              <w:instrText xml:space="preserve"> PAGEREF _Toc64988266 \h </w:instrText>
            </w:r>
            <w:r>
              <w:rPr>
                <w:noProof/>
                <w:webHidden/>
              </w:rPr>
            </w:r>
            <w:r>
              <w:rPr>
                <w:noProof/>
                <w:webHidden/>
              </w:rPr>
              <w:fldChar w:fldCharType="separate"/>
            </w:r>
            <w:r>
              <w:rPr>
                <w:noProof/>
                <w:webHidden/>
              </w:rPr>
              <w:t>38</w:t>
            </w:r>
            <w:r>
              <w:rPr>
                <w:noProof/>
                <w:webHidden/>
              </w:rPr>
              <w:fldChar w:fldCharType="end"/>
            </w:r>
          </w:hyperlink>
        </w:p>
        <w:p w14:paraId="550D6981" w14:textId="75DE319A" w:rsidR="003F16B0" w:rsidRDefault="003F16B0">
          <w:pPr>
            <w:pStyle w:val="TOC3"/>
            <w:rPr>
              <w:rFonts w:eastAsiaTheme="minorEastAsia"/>
              <w:noProof/>
              <w:color w:val="auto"/>
            </w:rPr>
          </w:pPr>
          <w:hyperlink w:anchor="_Toc64988267" w:history="1">
            <w:r w:rsidRPr="006747D6">
              <w:rPr>
                <w:rStyle w:val="Hyperlink"/>
                <w:noProof/>
              </w:rPr>
              <w:t>Opioid-Related Deaths</w:t>
            </w:r>
            <w:r>
              <w:rPr>
                <w:noProof/>
                <w:webHidden/>
              </w:rPr>
              <w:tab/>
            </w:r>
            <w:r>
              <w:rPr>
                <w:noProof/>
                <w:webHidden/>
              </w:rPr>
              <w:fldChar w:fldCharType="begin"/>
            </w:r>
            <w:r>
              <w:rPr>
                <w:noProof/>
                <w:webHidden/>
              </w:rPr>
              <w:instrText xml:space="preserve"> PAGEREF _Toc64988267 \h </w:instrText>
            </w:r>
            <w:r>
              <w:rPr>
                <w:noProof/>
                <w:webHidden/>
              </w:rPr>
            </w:r>
            <w:r>
              <w:rPr>
                <w:noProof/>
                <w:webHidden/>
              </w:rPr>
              <w:fldChar w:fldCharType="separate"/>
            </w:r>
            <w:r>
              <w:rPr>
                <w:noProof/>
                <w:webHidden/>
              </w:rPr>
              <w:t>38</w:t>
            </w:r>
            <w:r>
              <w:rPr>
                <w:noProof/>
                <w:webHidden/>
              </w:rPr>
              <w:fldChar w:fldCharType="end"/>
            </w:r>
          </w:hyperlink>
        </w:p>
        <w:p w14:paraId="7E955EDD" w14:textId="7976A25A" w:rsidR="003F16B0" w:rsidRDefault="003F16B0">
          <w:pPr>
            <w:pStyle w:val="TOC1"/>
            <w:rPr>
              <w:rFonts w:eastAsiaTheme="minorEastAsia"/>
              <w:noProof/>
              <w:color w:val="auto"/>
            </w:rPr>
          </w:pPr>
          <w:hyperlink w:anchor="_Toc64988268" w:history="1">
            <w:r w:rsidRPr="006747D6">
              <w:rPr>
                <w:rStyle w:val="Hyperlink"/>
                <w:rFonts w:eastAsia="Calibri"/>
                <w:noProof/>
              </w:rPr>
              <w:t>Disc</w:t>
            </w:r>
            <w:r w:rsidRPr="006747D6">
              <w:rPr>
                <w:rStyle w:val="Hyperlink"/>
                <w:rFonts w:eastAsia="Calibri"/>
                <w:noProof/>
              </w:rPr>
              <w:t>u</w:t>
            </w:r>
            <w:r w:rsidRPr="006747D6">
              <w:rPr>
                <w:rStyle w:val="Hyperlink"/>
                <w:rFonts w:eastAsia="Calibri"/>
                <w:noProof/>
              </w:rPr>
              <w:t>ssion</w:t>
            </w:r>
            <w:r>
              <w:rPr>
                <w:noProof/>
                <w:webHidden/>
              </w:rPr>
              <w:tab/>
            </w:r>
            <w:r>
              <w:rPr>
                <w:noProof/>
                <w:webHidden/>
              </w:rPr>
              <w:fldChar w:fldCharType="begin"/>
            </w:r>
            <w:r>
              <w:rPr>
                <w:noProof/>
                <w:webHidden/>
              </w:rPr>
              <w:instrText xml:space="preserve"> PAGEREF _Toc64988268 \h </w:instrText>
            </w:r>
            <w:r>
              <w:rPr>
                <w:noProof/>
                <w:webHidden/>
              </w:rPr>
            </w:r>
            <w:r>
              <w:rPr>
                <w:noProof/>
                <w:webHidden/>
              </w:rPr>
              <w:fldChar w:fldCharType="separate"/>
            </w:r>
            <w:r>
              <w:rPr>
                <w:noProof/>
                <w:webHidden/>
              </w:rPr>
              <w:t>39</w:t>
            </w:r>
            <w:r>
              <w:rPr>
                <w:noProof/>
                <w:webHidden/>
              </w:rPr>
              <w:fldChar w:fldCharType="end"/>
            </w:r>
          </w:hyperlink>
        </w:p>
        <w:p w14:paraId="34495294" w14:textId="43653ECB" w:rsidR="00381FCE" w:rsidRDefault="00381FCE">
          <w:r>
            <w:rPr>
              <w:b/>
              <w:bCs/>
              <w:noProof/>
            </w:rPr>
            <w:fldChar w:fldCharType="end"/>
          </w:r>
        </w:p>
      </w:sdtContent>
    </w:sdt>
    <w:p w14:paraId="7BF1D041" w14:textId="77777777" w:rsidR="00B36E09" w:rsidRPr="00E13C57" w:rsidRDefault="00381FCE" w:rsidP="00173212">
      <w:pPr>
        <w:keepNext/>
        <w:rPr>
          <w:rFonts w:asciiTheme="majorHAnsi" w:eastAsiaTheme="majorEastAsia" w:hAnsiTheme="majorHAnsi" w:cstheme="majorBidi"/>
          <w:color w:val="20422A" w:themeColor="accent1"/>
          <w:sz w:val="42"/>
          <w:szCs w:val="42"/>
        </w:rPr>
      </w:pPr>
      <w:r>
        <w:t xml:space="preserve"> </w:t>
      </w:r>
      <w:r w:rsidR="00B36E09">
        <w:rPr>
          <w:rFonts w:asciiTheme="majorHAnsi" w:eastAsiaTheme="majorEastAsia" w:hAnsiTheme="majorHAnsi" w:cstheme="majorBidi"/>
          <w:color w:val="20422A" w:themeColor="accent1"/>
          <w:sz w:val="42"/>
          <w:szCs w:val="42"/>
        </w:rPr>
        <w:t>List of Exhibits</w:t>
      </w:r>
    </w:p>
    <w:p w14:paraId="621837D8" w14:textId="781DE434" w:rsidR="003F16B0" w:rsidRDefault="00B36E09">
      <w:pPr>
        <w:pStyle w:val="TOC1"/>
        <w:rPr>
          <w:rFonts w:eastAsiaTheme="minorEastAsia"/>
          <w:noProof/>
          <w:color w:val="auto"/>
        </w:rPr>
      </w:pPr>
      <w:r>
        <w:lastRenderedPageBreak/>
        <w:fldChar w:fldCharType="begin"/>
      </w:r>
      <w:r>
        <w:instrText xml:space="preserve"> TOC \h \z \t "Exhibit Title,1" </w:instrText>
      </w:r>
      <w:r>
        <w:fldChar w:fldCharType="separate"/>
      </w:r>
      <w:hyperlink w:anchor="_Toc64988269" w:history="1">
        <w:r w:rsidR="003F16B0" w:rsidRPr="00471783">
          <w:rPr>
            <w:rStyle w:val="Hyperlink"/>
            <w:noProof/>
          </w:rPr>
          <w:t>Exhibit 1. Overview: Activities tracked</w:t>
        </w:r>
        <w:r w:rsidR="003F16B0">
          <w:rPr>
            <w:noProof/>
            <w:webHidden/>
          </w:rPr>
          <w:tab/>
        </w:r>
        <w:r w:rsidR="003F16B0">
          <w:rPr>
            <w:noProof/>
            <w:webHidden/>
          </w:rPr>
          <w:fldChar w:fldCharType="begin"/>
        </w:r>
        <w:r w:rsidR="003F16B0">
          <w:rPr>
            <w:noProof/>
            <w:webHidden/>
          </w:rPr>
          <w:instrText xml:space="preserve"> PAGEREF _Toc64988269 \h </w:instrText>
        </w:r>
        <w:r w:rsidR="003F16B0">
          <w:rPr>
            <w:noProof/>
            <w:webHidden/>
          </w:rPr>
        </w:r>
        <w:r w:rsidR="003F16B0">
          <w:rPr>
            <w:noProof/>
            <w:webHidden/>
          </w:rPr>
          <w:fldChar w:fldCharType="separate"/>
        </w:r>
        <w:r w:rsidR="003F16B0">
          <w:rPr>
            <w:noProof/>
            <w:webHidden/>
          </w:rPr>
          <w:t>7</w:t>
        </w:r>
        <w:r w:rsidR="003F16B0">
          <w:rPr>
            <w:noProof/>
            <w:webHidden/>
          </w:rPr>
          <w:fldChar w:fldCharType="end"/>
        </w:r>
      </w:hyperlink>
    </w:p>
    <w:p w14:paraId="5623369B" w14:textId="77B736F0" w:rsidR="003F16B0" w:rsidRDefault="003F16B0">
      <w:pPr>
        <w:pStyle w:val="TOC1"/>
        <w:rPr>
          <w:rFonts w:eastAsiaTheme="minorEastAsia"/>
          <w:noProof/>
          <w:color w:val="auto"/>
        </w:rPr>
      </w:pPr>
      <w:hyperlink w:anchor="_Toc64988270" w:history="1">
        <w:r w:rsidRPr="00471783">
          <w:rPr>
            <w:rStyle w:val="Hyperlink"/>
            <w:noProof/>
          </w:rPr>
          <w:t>Exhibit 2. Activity monitoring measures</w:t>
        </w:r>
        <w:r>
          <w:rPr>
            <w:noProof/>
            <w:webHidden/>
          </w:rPr>
          <w:tab/>
        </w:r>
        <w:r>
          <w:rPr>
            <w:noProof/>
            <w:webHidden/>
          </w:rPr>
          <w:fldChar w:fldCharType="begin"/>
        </w:r>
        <w:r>
          <w:rPr>
            <w:noProof/>
            <w:webHidden/>
          </w:rPr>
          <w:instrText xml:space="preserve"> PAGEREF _Toc64988270 \h </w:instrText>
        </w:r>
        <w:r>
          <w:rPr>
            <w:noProof/>
            <w:webHidden/>
          </w:rPr>
        </w:r>
        <w:r>
          <w:rPr>
            <w:noProof/>
            <w:webHidden/>
          </w:rPr>
          <w:fldChar w:fldCharType="separate"/>
        </w:r>
        <w:r>
          <w:rPr>
            <w:noProof/>
            <w:webHidden/>
          </w:rPr>
          <w:t>7</w:t>
        </w:r>
        <w:r>
          <w:rPr>
            <w:noProof/>
            <w:webHidden/>
          </w:rPr>
          <w:fldChar w:fldCharType="end"/>
        </w:r>
      </w:hyperlink>
    </w:p>
    <w:p w14:paraId="1FF2A9AF" w14:textId="5899C98C" w:rsidR="003F16B0" w:rsidRDefault="003F16B0">
      <w:pPr>
        <w:pStyle w:val="TOC1"/>
        <w:rPr>
          <w:rFonts w:eastAsiaTheme="minorEastAsia"/>
          <w:noProof/>
          <w:color w:val="auto"/>
        </w:rPr>
      </w:pPr>
      <w:hyperlink w:anchor="_Toc64988271" w:history="1">
        <w:r w:rsidRPr="00471783">
          <w:rPr>
            <w:rStyle w:val="Hyperlink"/>
            <w:noProof/>
          </w:rPr>
          <w:t>Exhibit 3. Planning assessment measures</w:t>
        </w:r>
        <w:r>
          <w:rPr>
            <w:noProof/>
            <w:webHidden/>
          </w:rPr>
          <w:tab/>
        </w:r>
        <w:r>
          <w:rPr>
            <w:noProof/>
            <w:webHidden/>
          </w:rPr>
          <w:fldChar w:fldCharType="begin"/>
        </w:r>
        <w:r>
          <w:rPr>
            <w:noProof/>
            <w:webHidden/>
          </w:rPr>
          <w:instrText xml:space="preserve"> PAGEREF _Toc64988271 \h </w:instrText>
        </w:r>
        <w:r>
          <w:rPr>
            <w:noProof/>
            <w:webHidden/>
          </w:rPr>
        </w:r>
        <w:r>
          <w:rPr>
            <w:noProof/>
            <w:webHidden/>
          </w:rPr>
          <w:fldChar w:fldCharType="separate"/>
        </w:r>
        <w:r>
          <w:rPr>
            <w:noProof/>
            <w:webHidden/>
          </w:rPr>
          <w:t>8</w:t>
        </w:r>
        <w:r>
          <w:rPr>
            <w:noProof/>
            <w:webHidden/>
          </w:rPr>
          <w:fldChar w:fldCharType="end"/>
        </w:r>
      </w:hyperlink>
    </w:p>
    <w:p w14:paraId="3B645C17" w14:textId="1E712386" w:rsidR="003F16B0" w:rsidRDefault="003F16B0">
      <w:pPr>
        <w:pStyle w:val="TOC1"/>
        <w:rPr>
          <w:rFonts w:eastAsiaTheme="minorEastAsia"/>
          <w:noProof/>
          <w:color w:val="auto"/>
        </w:rPr>
      </w:pPr>
      <w:hyperlink w:anchor="_Toc64988272" w:history="1">
        <w:r w:rsidRPr="00471783">
          <w:rPr>
            <w:rStyle w:val="Hyperlink"/>
            <w:noProof/>
          </w:rPr>
          <w:t>Exhibit 4. Evidence-based trainings received by GNMHC staff members</w:t>
        </w:r>
        <w:r>
          <w:rPr>
            <w:noProof/>
            <w:webHidden/>
          </w:rPr>
          <w:tab/>
        </w:r>
        <w:r>
          <w:rPr>
            <w:noProof/>
            <w:webHidden/>
          </w:rPr>
          <w:fldChar w:fldCharType="begin"/>
        </w:r>
        <w:r>
          <w:rPr>
            <w:noProof/>
            <w:webHidden/>
          </w:rPr>
          <w:instrText xml:space="preserve"> PAGEREF _Toc64988272 \h </w:instrText>
        </w:r>
        <w:r>
          <w:rPr>
            <w:noProof/>
            <w:webHidden/>
          </w:rPr>
        </w:r>
        <w:r>
          <w:rPr>
            <w:noProof/>
            <w:webHidden/>
          </w:rPr>
          <w:fldChar w:fldCharType="separate"/>
        </w:r>
        <w:r>
          <w:rPr>
            <w:noProof/>
            <w:webHidden/>
          </w:rPr>
          <w:t>11</w:t>
        </w:r>
        <w:r>
          <w:rPr>
            <w:noProof/>
            <w:webHidden/>
          </w:rPr>
          <w:fldChar w:fldCharType="end"/>
        </w:r>
      </w:hyperlink>
    </w:p>
    <w:p w14:paraId="142DBD11" w14:textId="4AB867CF" w:rsidR="003F16B0" w:rsidRDefault="003F16B0">
      <w:pPr>
        <w:pStyle w:val="TOC1"/>
        <w:rPr>
          <w:rFonts w:eastAsiaTheme="minorEastAsia"/>
          <w:noProof/>
          <w:color w:val="auto"/>
        </w:rPr>
      </w:pPr>
      <w:hyperlink w:anchor="_Toc64988273" w:history="1">
        <w:r w:rsidRPr="00471783">
          <w:rPr>
            <w:rStyle w:val="Hyperlink"/>
            <w:noProof/>
          </w:rPr>
          <w:t>Exhibit 5. Evidence-based training received by GP staff members</w:t>
        </w:r>
        <w:r>
          <w:rPr>
            <w:noProof/>
            <w:webHidden/>
          </w:rPr>
          <w:tab/>
        </w:r>
        <w:r>
          <w:rPr>
            <w:noProof/>
            <w:webHidden/>
          </w:rPr>
          <w:fldChar w:fldCharType="begin"/>
        </w:r>
        <w:r>
          <w:rPr>
            <w:noProof/>
            <w:webHidden/>
          </w:rPr>
          <w:instrText xml:space="preserve"> PAGEREF _Toc64988273 \h </w:instrText>
        </w:r>
        <w:r>
          <w:rPr>
            <w:noProof/>
            <w:webHidden/>
          </w:rPr>
        </w:r>
        <w:r>
          <w:rPr>
            <w:noProof/>
            <w:webHidden/>
          </w:rPr>
          <w:fldChar w:fldCharType="separate"/>
        </w:r>
        <w:r>
          <w:rPr>
            <w:noProof/>
            <w:webHidden/>
          </w:rPr>
          <w:t>12</w:t>
        </w:r>
        <w:r>
          <w:rPr>
            <w:noProof/>
            <w:webHidden/>
          </w:rPr>
          <w:fldChar w:fldCharType="end"/>
        </w:r>
      </w:hyperlink>
    </w:p>
    <w:p w14:paraId="39BAFF6E" w14:textId="5148DE8D" w:rsidR="003F16B0" w:rsidRDefault="003F16B0">
      <w:pPr>
        <w:pStyle w:val="TOC1"/>
        <w:rPr>
          <w:rFonts w:eastAsiaTheme="minorEastAsia"/>
          <w:noProof/>
          <w:color w:val="auto"/>
        </w:rPr>
      </w:pPr>
      <w:hyperlink w:anchor="_Toc64988274" w:history="1">
        <w:r w:rsidRPr="00471783">
          <w:rPr>
            <w:rStyle w:val="Hyperlink"/>
            <w:noProof/>
          </w:rPr>
          <w:t>Exhibit 6. Cumulative enrollment/intake interviews</w:t>
        </w:r>
        <w:r>
          <w:rPr>
            <w:noProof/>
            <w:webHidden/>
          </w:rPr>
          <w:tab/>
        </w:r>
        <w:r>
          <w:rPr>
            <w:noProof/>
            <w:webHidden/>
          </w:rPr>
          <w:fldChar w:fldCharType="begin"/>
        </w:r>
        <w:r>
          <w:rPr>
            <w:noProof/>
            <w:webHidden/>
          </w:rPr>
          <w:instrText xml:space="preserve"> PAGEREF _Toc64988274 \h </w:instrText>
        </w:r>
        <w:r>
          <w:rPr>
            <w:noProof/>
            <w:webHidden/>
          </w:rPr>
        </w:r>
        <w:r>
          <w:rPr>
            <w:noProof/>
            <w:webHidden/>
          </w:rPr>
          <w:fldChar w:fldCharType="separate"/>
        </w:r>
        <w:r>
          <w:rPr>
            <w:noProof/>
            <w:webHidden/>
          </w:rPr>
          <w:t>15</w:t>
        </w:r>
        <w:r>
          <w:rPr>
            <w:noProof/>
            <w:webHidden/>
          </w:rPr>
          <w:fldChar w:fldCharType="end"/>
        </w:r>
      </w:hyperlink>
    </w:p>
    <w:p w14:paraId="55E5F906" w14:textId="22550B6A" w:rsidR="003F16B0" w:rsidRDefault="003F16B0">
      <w:pPr>
        <w:pStyle w:val="TOC1"/>
        <w:rPr>
          <w:rFonts w:eastAsiaTheme="minorEastAsia"/>
          <w:noProof/>
          <w:color w:val="auto"/>
        </w:rPr>
      </w:pPr>
      <w:hyperlink w:anchor="_Toc64988275" w:history="1">
        <w:r w:rsidRPr="00471783">
          <w:rPr>
            <w:rStyle w:val="Hyperlink"/>
            <w:noProof/>
          </w:rPr>
          <w:t>Exhibit 7. Interview type</w:t>
        </w:r>
        <w:r>
          <w:rPr>
            <w:noProof/>
            <w:webHidden/>
          </w:rPr>
          <w:tab/>
        </w:r>
        <w:r>
          <w:rPr>
            <w:noProof/>
            <w:webHidden/>
          </w:rPr>
          <w:fldChar w:fldCharType="begin"/>
        </w:r>
        <w:r>
          <w:rPr>
            <w:noProof/>
            <w:webHidden/>
          </w:rPr>
          <w:instrText xml:space="preserve"> PAGEREF _Toc64988275 \h </w:instrText>
        </w:r>
        <w:r>
          <w:rPr>
            <w:noProof/>
            <w:webHidden/>
          </w:rPr>
        </w:r>
        <w:r>
          <w:rPr>
            <w:noProof/>
            <w:webHidden/>
          </w:rPr>
          <w:fldChar w:fldCharType="separate"/>
        </w:r>
        <w:r>
          <w:rPr>
            <w:noProof/>
            <w:webHidden/>
          </w:rPr>
          <w:t>15</w:t>
        </w:r>
        <w:r>
          <w:rPr>
            <w:noProof/>
            <w:webHidden/>
          </w:rPr>
          <w:fldChar w:fldCharType="end"/>
        </w:r>
      </w:hyperlink>
    </w:p>
    <w:p w14:paraId="728F41C1" w14:textId="0F4AAA41" w:rsidR="003F16B0" w:rsidRDefault="003F16B0">
      <w:pPr>
        <w:pStyle w:val="TOC1"/>
        <w:rPr>
          <w:rFonts w:eastAsiaTheme="minorEastAsia"/>
          <w:noProof/>
          <w:color w:val="auto"/>
        </w:rPr>
      </w:pPr>
      <w:hyperlink w:anchor="_Toc64988276" w:history="1">
        <w:r w:rsidRPr="00471783">
          <w:rPr>
            <w:rStyle w:val="Hyperlink"/>
            <w:noProof/>
          </w:rPr>
          <w:t>Exhibit 8a. Characteristics of clients served</w:t>
        </w:r>
        <w:r>
          <w:rPr>
            <w:noProof/>
            <w:webHidden/>
          </w:rPr>
          <w:tab/>
        </w:r>
        <w:r>
          <w:rPr>
            <w:noProof/>
            <w:webHidden/>
          </w:rPr>
          <w:fldChar w:fldCharType="begin"/>
        </w:r>
        <w:r>
          <w:rPr>
            <w:noProof/>
            <w:webHidden/>
          </w:rPr>
          <w:instrText xml:space="preserve"> PAGEREF _Toc64988276 \h </w:instrText>
        </w:r>
        <w:r>
          <w:rPr>
            <w:noProof/>
            <w:webHidden/>
          </w:rPr>
        </w:r>
        <w:r>
          <w:rPr>
            <w:noProof/>
            <w:webHidden/>
          </w:rPr>
          <w:fldChar w:fldCharType="separate"/>
        </w:r>
        <w:r>
          <w:rPr>
            <w:noProof/>
            <w:webHidden/>
          </w:rPr>
          <w:t>16</w:t>
        </w:r>
        <w:r>
          <w:rPr>
            <w:noProof/>
            <w:webHidden/>
          </w:rPr>
          <w:fldChar w:fldCharType="end"/>
        </w:r>
      </w:hyperlink>
    </w:p>
    <w:p w14:paraId="7CDA7C80" w14:textId="42D4D48C" w:rsidR="003F16B0" w:rsidRDefault="003F16B0">
      <w:pPr>
        <w:pStyle w:val="TOC1"/>
        <w:rPr>
          <w:rFonts w:eastAsiaTheme="minorEastAsia"/>
          <w:noProof/>
          <w:color w:val="auto"/>
        </w:rPr>
      </w:pPr>
      <w:hyperlink w:anchor="_Toc64988277" w:history="1">
        <w:r w:rsidRPr="00471783">
          <w:rPr>
            <w:rStyle w:val="Hyperlink"/>
            <w:noProof/>
          </w:rPr>
          <w:t>Exhibit 8b. Percentage of enrollments by race/ethnicity among New Hampshire public schools and CC-NH</w:t>
        </w:r>
        <w:r>
          <w:rPr>
            <w:noProof/>
            <w:webHidden/>
          </w:rPr>
          <w:tab/>
        </w:r>
        <w:r>
          <w:rPr>
            <w:noProof/>
            <w:webHidden/>
          </w:rPr>
          <w:fldChar w:fldCharType="begin"/>
        </w:r>
        <w:r>
          <w:rPr>
            <w:noProof/>
            <w:webHidden/>
          </w:rPr>
          <w:instrText xml:space="preserve"> PAGEREF _Toc64988277 \h </w:instrText>
        </w:r>
        <w:r>
          <w:rPr>
            <w:noProof/>
            <w:webHidden/>
          </w:rPr>
        </w:r>
        <w:r>
          <w:rPr>
            <w:noProof/>
            <w:webHidden/>
          </w:rPr>
          <w:fldChar w:fldCharType="separate"/>
        </w:r>
        <w:r>
          <w:rPr>
            <w:noProof/>
            <w:webHidden/>
          </w:rPr>
          <w:t>17</w:t>
        </w:r>
        <w:r>
          <w:rPr>
            <w:noProof/>
            <w:webHidden/>
          </w:rPr>
          <w:fldChar w:fldCharType="end"/>
        </w:r>
      </w:hyperlink>
    </w:p>
    <w:p w14:paraId="64E73036" w14:textId="5E5115DA" w:rsidR="003F16B0" w:rsidRDefault="003F16B0">
      <w:pPr>
        <w:pStyle w:val="TOC1"/>
        <w:rPr>
          <w:rFonts w:eastAsiaTheme="minorEastAsia"/>
          <w:noProof/>
          <w:color w:val="auto"/>
        </w:rPr>
      </w:pPr>
      <w:hyperlink w:anchor="_Toc64988278" w:history="1">
        <w:r w:rsidRPr="00471783">
          <w:rPr>
            <w:rStyle w:val="Hyperlink"/>
            <w:noProof/>
          </w:rPr>
          <w:t>Exhibit 8c. Percentage of enrollments by sexual orientation among New Hampshire high school students and CC-NH</w:t>
        </w:r>
        <w:r>
          <w:rPr>
            <w:noProof/>
            <w:webHidden/>
          </w:rPr>
          <w:tab/>
        </w:r>
        <w:r>
          <w:rPr>
            <w:noProof/>
            <w:webHidden/>
          </w:rPr>
          <w:fldChar w:fldCharType="begin"/>
        </w:r>
        <w:r>
          <w:rPr>
            <w:noProof/>
            <w:webHidden/>
          </w:rPr>
          <w:instrText xml:space="preserve"> PAGEREF _Toc64988278 \h </w:instrText>
        </w:r>
        <w:r>
          <w:rPr>
            <w:noProof/>
            <w:webHidden/>
          </w:rPr>
        </w:r>
        <w:r>
          <w:rPr>
            <w:noProof/>
            <w:webHidden/>
          </w:rPr>
          <w:fldChar w:fldCharType="separate"/>
        </w:r>
        <w:r>
          <w:rPr>
            <w:noProof/>
            <w:webHidden/>
          </w:rPr>
          <w:t>17</w:t>
        </w:r>
        <w:r>
          <w:rPr>
            <w:noProof/>
            <w:webHidden/>
          </w:rPr>
          <w:fldChar w:fldCharType="end"/>
        </w:r>
      </w:hyperlink>
    </w:p>
    <w:p w14:paraId="14316F3F" w14:textId="174BEAD8" w:rsidR="003F16B0" w:rsidRDefault="003F16B0">
      <w:pPr>
        <w:pStyle w:val="TOC1"/>
        <w:rPr>
          <w:rFonts w:eastAsiaTheme="minorEastAsia"/>
          <w:noProof/>
          <w:color w:val="auto"/>
        </w:rPr>
      </w:pPr>
      <w:hyperlink w:anchor="_Toc64988279" w:history="1">
        <w:r w:rsidRPr="00471783">
          <w:rPr>
            <w:rStyle w:val="Hyperlink"/>
            <w:noProof/>
          </w:rPr>
          <w:t>Exhibit 9. Primary diagnosis</w:t>
        </w:r>
        <w:r>
          <w:rPr>
            <w:noProof/>
            <w:webHidden/>
          </w:rPr>
          <w:tab/>
        </w:r>
        <w:r>
          <w:rPr>
            <w:noProof/>
            <w:webHidden/>
          </w:rPr>
          <w:fldChar w:fldCharType="begin"/>
        </w:r>
        <w:r>
          <w:rPr>
            <w:noProof/>
            <w:webHidden/>
          </w:rPr>
          <w:instrText xml:space="preserve"> PAGEREF _Toc64988279 \h </w:instrText>
        </w:r>
        <w:r>
          <w:rPr>
            <w:noProof/>
            <w:webHidden/>
          </w:rPr>
        </w:r>
        <w:r>
          <w:rPr>
            <w:noProof/>
            <w:webHidden/>
          </w:rPr>
          <w:fldChar w:fldCharType="separate"/>
        </w:r>
        <w:r>
          <w:rPr>
            <w:noProof/>
            <w:webHidden/>
          </w:rPr>
          <w:t>18</w:t>
        </w:r>
        <w:r>
          <w:rPr>
            <w:noProof/>
            <w:webHidden/>
          </w:rPr>
          <w:fldChar w:fldCharType="end"/>
        </w:r>
      </w:hyperlink>
    </w:p>
    <w:p w14:paraId="47857F61" w14:textId="69D2A140" w:rsidR="003F16B0" w:rsidRDefault="003F16B0">
      <w:pPr>
        <w:pStyle w:val="TOC1"/>
        <w:rPr>
          <w:rFonts w:eastAsiaTheme="minorEastAsia"/>
          <w:noProof/>
          <w:color w:val="auto"/>
        </w:rPr>
      </w:pPr>
      <w:hyperlink w:anchor="_Toc64988280" w:history="1">
        <w:r w:rsidRPr="00471783">
          <w:rPr>
            <w:rStyle w:val="Hyperlink"/>
            <w:noProof/>
          </w:rPr>
          <w:t>Exhibit 10. Housing, education, and employment status</w:t>
        </w:r>
        <w:r>
          <w:rPr>
            <w:noProof/>
            <w:webHidden/>
          </w:rPr>
          <w:tab/>
        </w:r>
        <w:r>
          <w:rPr>
            <w:noProof/>
            <w:webHidden/>
          </w:rPr>
          <w:fldChar w:fldCharType="begin"/>
        </w:r>
        <w:r>
          <w:rPr>
            <w:noProof/>
            <w:webHidden/>
          </w:rPr>
          <w:instrText xml:space="preserve"> PAGEREF _Toc64988280 \h </w:instrText>
        </w:r>
        <w:r>
          <w:rPr>
            <w:noProof/>
            <w:webHidden/>
          </w:rPr>
        </w:r>
        <w:r>
          <w:rPr>
            <w:noProof/>
            <w:webHidden/>
          </w:rPr>
          <w:fldChar w:fldCharType="separate"/>
        </w:r>
        <w:r>
          <w:rPr>
            <w:noProof/>
            <w:webHidden/>
          </w:rPr>
          <w:t>18</w:t>
        </w:r>
        <w:r>
          <w:rPr>
            <w:noProof/>
            <w:webHidden/>
          </w:rPr>
          <w:fldChar w:fldCharType="end"/>
        </w:r>
      </w:hyperlink>
    </w:p>
    <w:p w14:paraId="67748E9E" w14:textId="706B2193" w:rsidR="003F16B0" w:rsidRDefault="003F16B0">
      <w:pPr>
        <w:pStyle w:val="TOC1"/>
        <w:rPr>
          <w:rFonts w:eastAsiaTheme="minorEastAsia"/>
          <w:noProof/>
          <w:color w:val="auto"/>
        </w:rPr>
      </w:pPr>
      <w:hyperlink w:anchor="_Toc64988281" w:history="1">
        <w:r w:rsidRPr="00471783">
          <w:rPr>
            <w:rStyle w:val="Hyperlink"/>
            <w:noProof/>
          </w:rPr>
          <w:t>Exhibit 11. Geographic distribution of program participants, by zip code area</w:t>
        </w:r>
        <w:r>
          <w:rPr>
            <w:noProof/>
            <w:webHidden/>
          </w:rPr>
          <w:tab/>
        </w:r>
        <w:r>
          <w:rPr>
            <w:noProof/>
            <w:webHidden/>
          </w:rPr>
          <w:fldChar w:fldCharType="begin"/>
        </w:r>
        <w:r>
          <w:rPr>
            <w:noProof/>
            <w:webHidden/>
          </w:rPr>
          <w:instrText xml:space="preserve"> PAGEREF _Toc64988281 \h </w:instrText>
        </w:r>
        <w:r>
          <w:rPr>
            <w:noProof/>
            <w:webHidden/>
          </w:rPr>
        </w:r>
        <w:r>
          <w:rPr>
            <w:noProof/>
            <w:webHidden/>
          </w:rPr>
          <w:fldChar w:fldCharType="separate"/>
        </w:r>
        <w:r>
          <w:rPr>
            <w:noProof/>
            <w:webHidden/>
          </w:rPr>
          <w:t>19</w:t>
        </w:r>
        <w:r>
          <w:rPr>
            <w:noProof/>
            <w:webHidden/>
          </w:rPr>
          <w:fldChar w:fldCharType="end"/>
        </w:r>
      </w:hyperlink>
    </w:p>
    <w:p w14:paraId="7D903031" w14:textId="28AC0B8C" w:rsidR="003F16B0" w:rsidRDefault="003F16B0">
      <w:pPr>
        <w:pStyle w:val="TOC1"/>
        <w:rPr>
          <w:rFonts w:eastAsiaTheme="minorEastAsia"/>
          <w:noProof/>
          <w:color w:val="auto"/>
        </w:rPr>
      </w:pPr>
      <w:hyperlink w:anchor="_Toc64988282" w:history="1">
        <w:r w:rsidRPr="00471783">
          <w:rPr>
            <w:rStyle w:val="Hyperlink"/>
            <w:noProof/>
          </w:rPr>
          <w:t>Exhibit 12. Planned Services – Modality</w:t>
        </w:r>
        <w:r>
          <w:rPr>
            <w:noProof/>
            <w:webHidden/>
          </w:rPr>
          <w:tab/>
        </w:r>
        <w:r>
          <w:rPr>
            <w:noProof/>
            <w:webHidden/>
          </w:rPr>
          <w:fldChar w:fldCharType="begin"/>
        </w:r>
        <w:r>
          <w:rPr>
            <w:noProof/>
            <w:webHidden/>
          </w:rPr>
          <w:instrText xml:space="preserve"> PAGEREF _Toc64988282 \h </w:instrText>
        </w:r>
        <w:r>
          <w:rPr>
            <w:noProof/>
            <w:webHidden/>
          </w:rPr>
        </w:r>
        <w:r>
          <w:rPr>
            <w:noProof/>
            <w:webHidden/>
          </w:rPr>
          <w:fldChar w:fldCharType="separate"/>
        </w:r>
        <w:r>
          <w:rPr>
            <w:noProof/>
            <w:webHidden/>
          </w:rPr>
          <w:t>20</w:t>
        </w:r>
        <w:r>
          <w:rPr>
            <w:noProof/>
            <w:webHidden/>
          </w:rPr>
          <w:fldChar w:fldCharType="end"/>
        </w:r>
      </w:hyperlink>
    </w:p>
    <w:p w14:paraId="1F95BE1D" w14:textId="07747117" w:rsidR="003F16B0" w:rsidRDefault="003F16B0">
      <w:pPr>
        <w:pStyle w:val="TOC1"/>
        <w:rPr>
          <w:rFonts w:eastAsiaTheme="minorEastAsia"/>
          <w:noProof/>
          <w:color w:val="auto"/>
        </w:rPr>
      </w:pPr>
      <w:hyperlink w:anchor="_Toc64988283" w:history="1">
        <w:r w:rsidRPr="00471783">
          <w:rPr>
            <w:rStyle w:val="Hyperlink"/>
            <w:noProof/>
          </w:rPr>
          <w:t>Exhibit 13. Planned Services – Treatment Services</w:t>
        </w:r>
        <w:r>
          <w:rPr>
            <w:noProof/>
            <w:webHidden/>
          </w:rPr>
          <w:tab/>
        </w:r>
        <w:r>
          <w:rPr>
            <w:noProof/>
            <w:webHidden/>
          </w:rPr>
          <w:fldChar w:fldCharType="begin"/>
        </w:r>
        <w:r>
          <w:rPr>
            <w:noProof/>
            <w:webHidden/>
          </w:rPr>
          <w:instrText xml:space="preserve"> PAGEREF _Toc64988283 \h </w:instrText>
        </w:r>
        <w:r>
          <w:rPr>
            <w:noProof/>
            <w:webHidden/>
          </w:rPr>
        </w:r>
        <w:r>
          <w:rPr>
            <w:noProof/>
            <w:webHidden/>
          </w:rPr>
          <w:fldChar w:fldCharType="separate"/>
        </w:r>
        <w:r>
          <w:rPr>
            <w:noProof/>
            <w:webHidden/>
          </w:rPr>
          <w:t>20</w:t>
        </w:r>
        <w:r>
          <w:rPr>
            <w:noProof/>
            <w:webHidden/>
          </w:rPr>
          <w:fldChar w:fldCharType="end"/>
        </w:r>
      </w:hyperlink>
    </w:p>
    <w:p w14:paraId="4EAB312E" w14:textId="5DCDD29B" w:rsidR="003F16B0" w:rsidRDefault="003F16B0">
      <w:pPr>
        <w:pStyle w:val="TOC1"/>
        <w:rPr>
          <w:rFonts w:eastAsiaTheme="minorEastAsia"/>
          <w:noProof/>
          <w:color w:val="auto"/>
        </w:rPr>
      </w:pPr>
      <w:hyperlink w:anchor="_Toc64988284" w:history="1">
        <w:r w:rsidRPr="00471783">
          <w:rPr>
            <w:rStyle w:val="Hyperlink"/>
            <w:noProof/>
          </w:rPr>
          <w:t>Exhibit 14. Planned Services – Case Management Services</w:t>
        </w:r>
        <w:r>
          <w:rPr>
            <w:noProof/>
            <w:webHidden/>
          </w:rPr>
          <w:tab/>
        </w:r>
        <w:r>
          <w:rPr>
            <w:noProof/>
            <w:webHidden/>
          </w:rPr>
          <w:fldChar w:fldCharType="begin"/>
        </w:r>
        <w:r>
          <w:rPr>
            <w:noProof/>
            <w:webHidden/>
          </w:rPr>
          <w:instrText xml:space="preserve"> PAGEREF _Toc64988284 \h </w:instrText>
        </w:r>
        <w:r>
          <w:rPr>
            <w:noProof/>
            <w:webHidden/>
          </w:rPr>
        </w:r>
        <w:r>
          <w:rPr>
            <w:noProof/>
            <w:webHidden/>
          </w:rPr>
          <w:fldChar w:fldCharType="separate"/>
        </w:r>
        <w:r>
          <w:rPr>
            <w:noProof/>
            <w:webHidden/>
          </w:rPr>
          <w:t>21</w:t>
        </w:r>
        <w:r>
          <w:rPr>
            <w:noProof/>
            <w:webHidden/>
          </w:rPr>
          <w:fldChar w:fldCharType="end"/>
        </w:r>
      </w:hyperlink>
    </w:p>
    <w:p w14:paraId="188A98F7" w14:textId="7B94B3C6" w:rsidR="003F16B0" w:rsidRDefault="003F16B0">
      <w:pPr>
        <w:pStyle w:val="TOC1"/>
        <w:rPr>
          <w:rFonts w:eastAsiaTheme="minorEastAsia"/>
          <w:noProof/>
          <w:color w:val="auto"/>
        </w:rPr>
      </w:pPr>
      <w:hyperlink w:anchor="_Toc64988285" w:history="1">
        <w:r w:rsidRPr="00471783">
          <w:rPr>
            <w:rStyle w:val="Hyperlink"/>
            <w:noProof/>
          </w:rPr>
          <w:t>Exhibit 15. Planned Services – Medical Services</w:t>
        </w:r>
        <w:r>
          <w:rPr>
            <w:noProof/>
            <w:webHidden/>
          </w:rPr>
          <w:tab/>
        </w:r>
        <w:r>
          <w:rPr>
            <w:noProof/>
            <w:webHidden/>
          </w:rPr>
          <w:fldChar w:fldCharType="begin"/>
        </w:r>
        <w:r>
          <w:rPr>
            <w:noProof/>
            <w:webHidden/>
          </w:rPr>
          <w:instrText xml:space="preserve"> PAGEREF _Toc64988285 \h </w:instrText>
        </w:r>
        <w:r>
          <w:rPr>
            <w:noProof/>
            <w:webHidden/>
          </w:rPr>
        </w:r>
        <w:r>
          <w:rPr>
            <w:noProof/>
            <w:webHidden/>
          </w:rPr>
          <w:fldChar w:fldCharType="separate"/>
        </w:r>
        <w:r>
          <w:rPr>
            <w:noProof/>
            <w:webHidden/>
          </w:rPr>
          <w:t>21</w:t>
        </w:r>
        <w:r>
          <w:rPr>
            <w:noProof/>
            <w:webHidden/>
          </w:rPr>
          <w:fldChar w:fldCharType="end"/>
        </w:r>
      </w:hyperlink>
    </w:p>
    <w:p w14:paraId="181AFABF" w14:textId="52B51B4C" w:rsidR="003F16B0" w:rsidRDefault="003F16B0">
      <w:pPr>
        <w:pStyle w:val="TOC1"/>
        <w:rPr>
          <w:rFonts w:eastAsiaTheme="minorEastAsia"/>
          <w:noProof/>
          <w:color w:val="auto"/>
        </w:rPr>
      </w:pPr>
      <w:hyperlink w:anchor="_Toc64988286" w:history="1">
        <w:r w:rsidRPr="00471783">
          <w:rPr>
            <w:rStyle w:val="Hyperlink"/>
            <w:noProof/>
          </w:rPr>
          <w:t>Exhibit 16. Planned Services – After Care Services</w:t>
        </w:r>
        <w:r>
          <w:rPr>
            <w:noProof/>
            <w:webHidden/>
          </w:rPr>
          <w:tab/>
        </w:r>
        <w:r>
          <w:rPr>
            <w:noProof/>
            <w:webHidden/>
          </w:rPr>
          <w:fldChar w:fldCharType="begin"/>
        </w:r>
        <w:r>
          <w:rPr>
            <w:noProof/>
            <w:webHidden/>
          </w:rPr>
          <w:instrText xml:space="preserve"> PAGEREF _Toc64988286 \h </w:instrText>
        </w:r>
        <w:r>
          <w:rPr>
            <w:noProof/>
            <w:webHidden/>
          </w:rPr>
        </w:r>
        <w:r>
          <w:rPr>
            <w:noProof/>
            <w:webHidden/>
          </w:rPr>
          <w:fldChar w:fldCharType="separate"/>
        </w:r>
        <w:r>
          <w:rPr>
            <w:noProof/>
            <w:webHidden/>
          </w:rPr>
          <w:t>21</w:t>
        </w:r>
        <w:r>
          <w:rPr>
            <w:noProof/>
            <w:webHidden/>
          </w:rPr>
          <w:fldChar w:fldCharType="end"/>
        </w:r>
      </w:hyperlink>
    </w:p>
    <w:p w14:paraId="5E124202" w14:textId="6E6F1296" w:rsidR="003F16B0" w:rsidRDefault="003F16B0">
      <w:pPr>
        <w:pStyle w:val="TOC1"/>
        <w:rPr>
          <w:rFonts w:eastAsiaTheme="minorEastAsia"/>
          <w:noProof/>
          <w:color w:val="auto"/>
        </w:rPr>
      </w:pPr>
      <w:hyperlink w:anchor="_Toc64988287" w:history="1">
        <w:r w:rsidRPr="00471783">
          <w:rPr>
            <w:rStyle w:val="Hyperlink"/>
            <w:noProof/>
          </w:rPr>
          <w:t>Exhibit 17. Planned Services – Education Services</w:t>
        </w:r>
        <w:r>
          <w:rPr>
            <w:noProof/>
            <w:webHidden/>
          </w:rPr>
          <w:tab/>
        </w:r>
        <w:r>
          <w:rPr>
            <w:noProof/>
            <w:webHidden/>
          </w:rPr>
          <w:fldChar w:fldCharType="begin"/>
        </w:r>
        <w:r>
          <w:rPr>
            <w:noProof/>
            <w:webHidden/>
          </w:rPr>
          <w:instrText xml:space="preserve"> PAGEREF _Toc64988287 \h </w:instrText>
        </w:r>
        <w:r>
          <w:rPr>
            <w:noProof/>
            <w:webHidden/>
          </w:rPr>
        </w:r>
        <w:r>
          <w:rPr>
            <w:noProof/>
            <w:webHidden/>
          </w:rPr>
          <w:fldChar w:fldCharType="separate"/>
        </w:r>
        <w:r>
          <w:rPr>
            <w:noProof/>
            <w:webHidden/>
          </w:rPr>
          <w:t>22</w:t>
        </w:r>
        <w:r>
          <w:rPr>
            <w:noProof/>
            <w:webHidden/>
          </w:rPr>
          <w:fldChar w:fldCharType="end"/>
        </w:r>
      </w:hyperlink>
    </w:p>
    <w:p w14:paraId="7D7B31A5" w14:textId="4204394D" w:rsidR="003F16B0" w:rsidRDefault="003F16B0">
      <w:pPr>
        <w:pStyle w:val="TOC1"/>
        <w:rPr>
          <w:rFonts w:eastAsiaTheme="minorEastAsia"/>
          <w:noProof/>
          <w:color w:val="auto"/>
        </w:rPr>
      </w:pPr>
      <w:hyperlink w:anchor="_Toc64988288" w:history="1">
        <w:r w:rsidRPr="00471783">
          <w:rPr>
            <w:rStyle w:val="Hyperlink"/>
            <w:noProof/>
          </w:rPr>
          <w:t>Exhibit 18. Planned Services – Peer-to-Peer Recovery Services</w:t>
        </w:r>
        <w:r>
          <w:rPr>
            <w:noProof/>
            <w:webHidden/>
          </w:rPr>
          <w:tab/>
        </w:r>
        <w:r>
          <w:rPr>
            <w:noProof/>
            <w:webHidden/>
          </w:rPr>
          <w:fldChar w:fldCharType="begin"/>
        </w:r>
        <w:r>
          <w:rPr>
            <w:noProof/>
            <w:webHidden/>
          </w:rPr>
          <w:instrText xml:space="preserve"> PAGEREF _Toc64988288 \h </w:instrText>
        </w:r>
        <w:r>
          <w:rPr>
            <w:noProof/>
            <w:webHidden/>
          </w:rPr>
        </w:r>
        <w:r>
          <w:rPr>
            <w:noProof/>
            <w:webHidden/>
          </w:rPr>
          <w:fldChar w:fldCharType="separate"/>
        </w:r>
        <w:r>
          <w:rPr>
            <w:noProof/>
            <w:webHidden/>
          </w:rPr>
          <w:t>22</w:t>
        </w:r>
        <w:r>
          <w:rPr>
            <w:noProof/>
            <w:webHidden/>
          </w:rPr>
          <w:fldChar w:fldCharType="end"/>
        </w:r>
      </w:hyperlink>
    </w:p>
    <w:p w14:paraId="7A2C8EDC" w14:textId="047C43C3" w:rsidR="003F16B0" w:rsidRDefault="003F16B0">
      <w:pPr>
        <w:pStyle w:val="TOC1"/>
        <w:rPr>
          <w:rFonts w:eastAsiaTheme="minorEastAsia"/>
          <w:noProof/>
          <w:color w:val="auto"/>
        </w:rPr>
      </w:pPr>
      <w:hyperlink w:anchor="_Toc64988289" w:history="1">
        <w:r w:rsidRPr="00471783">
          <w:rPr>
            <w:rStyle w:val="Hyperlink"/>
            <w:noProof/>
          </w:rPr>
          <w:t>Exhibit 19. Average days of substance use during the past 30 days</w:t>
        </w:r>
        <w:r>
          <w:rPr>
            <w:noProof/>
            <w:webHidden/>
          </w:rPr>
          <w:tab/>
        </w:r>
        <w:r>
          <w:rPr>
            <w:noProof/>
            <w:webHidden/>
          </w:rPr>
          <w:fldChar w:fldCharType="begin"/>
        </w:r>
        <w:r>
          <w:rPr>
            <w:noProof/>
            <w:webHidden/>
          </w:rPr>
          <w:instrText xml:space="preserve"> PAGEREF _Toc64988289 \h </w:instrText>
        </w:r>
        <w:r>
          <w:rPr>
            <w:noProof/>
            <w:webHidden/>
          </w:rPr>
        </w:r>
        <w:r>
          <w:rPr>
            <w:noProof/>
            <w:webHidden/>
          </w:rPr>
          <w:fldChar w:fldCharType="separate"/>
        </w:r>
        <w:r>
          <w:rPr>
            <w:noProof/>
            <w:webHidden/>
          </w:rPr>
          <w:t>23</w:t>
        </w:r>
        <w:r>
          <w:rPr>
            <w:noProof/>
            <w:webHidden/>
          </w:rPr>
          <w:fldChar w:fldCharType="end"/>
        </w:r>
      </w:hyperlink>
    </w:p>
    <w:p w14:paraId="1A717AF2" w14:textId="2C1E8698" w:rsidR="003F16B0" w:rsidRDefault="003F16B0">
      <w:pPr>
        <w:pStyle w:val="TOC1"/>
        <w:rPr>
          <w:rFonts w:eastAsiaTheme="minorEastAsia"/>
          <w:noProof/>
          <w:color w:val="auto"/>
        </w:rPr>
      </w:pPr>
      <w:hyperlink w:anchor="_Toc64988290" w:history="1">
        <w:r w:rsidRPr="00471783">
          <w:rPr>
            <w:rStyle w:val="Hyperlink"/>
            <w:noProof/>
          </w:rPr>
          <w:t>Exhibit 20. Average days of mental health symptoms during the past 30 days</w:t>
        </w:r>
        <w:r>
          <w:rPr>
            <w:noProof/>
            <w:webHidden/>
          </w:rPr>
          <w:tab/>
        </w:r>
        <w:r>
          <w:rPr>
            <w:noProof/>
            <w:webHidden/>
          </w:rPr>
          <w:fldChar w:fldCharType="begin"/>
        </w:r>
        <w:r>
          <w:rPr>
            <w:noProof/>
            <w:webHidden/>
          </w:rPr>
          <w:instrText xml:space="preserve"> PAGEREF _Toc64988290 \h </w:instrText>
        </w:r>
        <w:r>
          <w:rPr>
            <w:noProof/>
            <w:webHidden/>
          </w:rPr>
        </w:r>
        <w:r>
          <w:rPr>
            <w:noProof/>
            <w:webHidden/>
          </w:rPr>
          <w:fldChar w:fldCharType="separate"/>
        </w:r>
        <w:r>
          <w:rPr>
            <w:noProof/>
            <w:webHidden/>
          </w:rPr>
          <w:t>24</w:t>
        </w:r>
        <w:r>
          <w:rPr>
            <w:noProof/>
            <w:webHidden/>
          </w:rPr>
          <w:fldChar w:fldCharType="end"/>
        </w:r>
      </w:hyperlink>
    </w:p>
    <w:p w14:paraId="0E86547C" w14:textId="16C202DC" w:rsidR="003F16B0" w:rsidRDefault="003F16B0">
      <w:pPr>
        <w:pStyle w:val="TOC1"/>
        <w:rPr>
          <w:rFonts w:eastAsiaTheme="minorEastAsia"/>
          <w:noProof/>
          <w:color w:val="auto"/>
        </w:rPr>
      </w:pPr>
      <w:hyperlink w:anchor="_Toc64988291" w:history="1">
        <w:r w:rsidRPr="00471783">
          <w:rPr>
            <w:rStyle w:val="Hyperlink"/>
            <w:noProof/>
          </w:rPr>
          <w:t>Exhibit 21. Days impact of alcohol or drug use during the past 30 days</w:t>
        </w:r>
        <w:r>
          <w:rPr>
            <w:noProof/>
            <w:webHidden/>
          </w:rPr>
          <w:tab/>
        </w:r>
        <w:r>
          <w:rPr>
            <w:noProof/>
            <w:webHidden/>
          </w:rPr>
          <w:fldChar w:fldCharType="begin"/>
        </w:r>
        <w:r>
          <w:rPr>
            <w:noProof/>
            <w:webHidden/>
          </w:rPr>
          <w:instrText xml:space="preserve"> PAGEREF _Toc64988291 \h </w:instrText>
        </w:r>
        <w:r>
          <w:rPr>
            <w:noProof/>
            <w:webHidden/>
          </w:rPr>
        </w:r>
        <w:r>
          <w:rPr>
            <w:noProof/>
            <w:webHidden/>
          </w:rPr>
          <w:fldChar w:fldCharType="separate"/>
        </w:r>
        <w:r>
          <w:rPr>
            <w:noProof/>
            <w:webHidden/>
          </w:rPr>
          <w:t>24</w:t>
        </w:r>
        <w:r>
          <w:rPr>
            <w:noProof/>
            <w:webHidden/>
          </w:rPr>
          <w:fldChar w:fldCharType="end"/>
        </w:r>
      </w:hyperlink>
    </w:p>
    <w:p w14:paraId="5263BFDC" w14:textId="7B3F6EBC" w:rsidR="003F16B0" w:rsidRDefault="003F16B0">
      <w:pPr>
        <w:pStyle w:val="TOC1"/>
        <w:rPr>
          <w:rFonts w:eastAsiaTheme="minorEastAsia"/>
          <w:noProof/>
          <w:color w:val="auto"/>
        </w:rPr>
      </w:pPr>
      <w:hyperlink w:anchor="_Toc64988292" w:history="1">
        <w:r w:rsidRPr="00471783">
          <w:rPr>
            <w:rStyle w:val="Hyperlink"/>
            <w:noProof/>
          </w:rPr>
          <w:t>Exhibit 22. Percentage of program participants reporting their  overall health is excellent, very good, or good</w:t>
        </w:r>
        <w:r>
          <w:rPr>
            <w:noProof/>
            <w:webHidden/>
          </w:rPr>
          <w:tab/>
        </w:r>
        <w:r>
          <w:rPr>
            <w:noProof/>
            <w:webHidden/>
          </w:rPr>
          <w:fldChar w:fldCharType="begin"/>
        </w:r>
        <w:r>
          <w:rPr>
            <w:noProof/>
            <w:webHidden/>
          </w:rPr>
          <w:instrText xml:space="preserve"> PAGEREF _Toc64988292 \h </w:instrText>
        </w:r>
        <w:r>
          <w:rPr>
            <w:noProof/>
            <w:webHidden/>
          </w:rPr>
        </w:r>
        <w:r>
          <w:rPr>
            <w:noProof/>
            <w:webHidden/>
          </w:rPr>
          <w:fldChar w:fldCharType="separate"/>
        </w:r>
        <w:r>
          <w:rPr>
            <w:noProof/>
            <w:webHidden/>
          </w:rPr>
          <w:t>25</w:t>
        </w:r>
        <w:r>
          <w:rPr>
            <w:noProof/>
            <w:webHidden/>
          </w:rPr>
          <w:fldChar w:fldCharType="end"/>
        </w:r>
      </w:hyperlink>
    </w:p>
    <w:p w14:paraId="57C43835" w14:textId="699DEFAA" w:rsidR="003F16B0" w:rsidRDefault="003F16B0">
      <w:pPr>
        <w:pStyle w:val="TOC1"/>
        <w:rPr>
          <w:rFonts w:eastAsiaTheme="minorEastAsia"/>
          <w:noProof/>
          <w:color w:val="auto"/>
        </w:rPr>
      </w:pPr>
      <w:hyperlink w:anchor="_Toc64988293" w:history="1">
        <w:r w:rsidRPr="00471783">
          <w:rPr>
            <w:rStyle w:val="Hyperlink"/>
            <w:noProof/>
          </w:rPr>
          <w:t>Exhibit 23. Percentage of program participants reporting their  quality of life is good or very good</w:t>
        </w:r>
        <w:r>
          <w:rPr>
            <w:noProof/>
            <w:webHidden/>
          </w:rPr>
          <w:tab/>
        </w:r>
        <w:r>
          <w:rPr>
            <w:noProof/>
            <w:webHidden/>
          </w:rPr>
          <w:fldChar w:fldCharType="begin"/>
        </w:r>
        <w:r>
          <w:rPr>
            <w:noProof/>
            <w:webHidden/>
          </w:rPr>
          <w:instrText xml:space="preserve"> PAGEREF _Toc64988293 \h </w:instrText>
        </w:r>
        <w:r>
          <w:rPr>
            <w:noProof/>
            <w:webHidden/>
          </w:rPr>
        </w:r>
        <w:r>
          <w:rPr>
            <w:noProof/>
            <w:webHidden/>
          </w:rPr>
          <w:fldChar w:fldCharType="separate"/>
        </w:r>
        <w:r>
          <w:rPr>
            <w:noProof/>
            <w:webHidden/>
          </w:rPr>
          <w:t>25</w:t>
        </w:r>
        <w:r>
          <w:rPr>
            <w:noProof/>
            <w:webHidden/>
          </w:rPr>
          <w:fldChar w:fldCharType="end"/>
        </w:r>
      </w:hyperlink>
    </w:p>
    <w:p w14:paraId="1DAD2891" w14:textId="35E7E4C2" w:rsidR="003F16B0" w:rsidRDefault="003F16B0">
      <w:pPr>
        <w:pStyle w:val="TOC1"/>
        <w:rPr>
          <w:rFonts w:eastAsiaTheme="minorEastAsia"/>
          <w:noProof/>
          <w:color w:val="auto"/>
        </w:rPr>
      </w:pPr>
      <w:hyperlink w:anchor="_Toc64988294" w:history="1">
        <w:r w:rsidRPr="00471783">
          <w:rPr>
            <w:rStyle w:val="Hyperlink"/>
            <w:noProof/>
          </w:rPr>
          <w:t>Exhibit 24. Percentage of program participants reporting they are satisfied or very satisfied with themselves</w:t>
        </w:r>
        <w:r>
          <w:rPr>
            <w:noProof/>
            <w:webHidden/>
          </w:rPr>
          <w:tab/>
        </w:r>
        <w:r>
          <w:rPr>
            <w:noProof/>
            <w:webHidden/>
          </w:rPr>
          <w:fldChar w:fldCharType="begin"/>
        </w:r>
        <w:r>
          <w:rPr>
            <w:noProof/>
            <w:webHidden/>
          </w:rPr>
          <w:instrText xml:space="preserve"> PAGEREF _Toc64988294 \h </w:instrText>
        </w:r>
        <w:r>
          <w:rPr>
            <w:noProof/>
            <w:webHidden/>
          </w:rPr>
        </w:r>
        <w:r>
          <w:rPr>
            <w:noProof/>
            <w:webHidden/>
          </w:rPr>
          <w:fldChar w:fldCharType="separate"/>
        </w:r>
        <w:r>
          <w:rPr>
            <w:noProof/>
            <w:webHidden/>
          </w:rPr>
          <w:t>25</w:t>
        </w:r>
        <w:r>
          <w:rPr>
            <w:noProof/>
            <w:webHidden/>
          </w:rPr>
          <w:fldChar w:fldCharType="end"/>
        </w:r>
      </w:hyperlink>
    </w:p>
    <w:p w14:paraId="16F9F7F4" w14:textId="183F4112" w:rsidR="003F16B0" w:rsidRDefault="003F16B0">
      <w:pPr>
        <w:pStyle w:val="TOC1"/>
        <w:rPr>
          <w:rFonts w:eastAsiaTheme="minorEastAsia"/>
          <w:noProof/>
          <w:color w:val="auto"/>
        </w:rPr>
      </w:pPr>
      <w:hyperlink w:anchor="_Toc64988295" w:history="1">
        <w:r w:rsidRPr="00471783">
          <w:rPr>
            <w:rStyle w:val="Hyperlink"/>
            <w:noProof/>
          </w:rPr>
          <w:t>Exhibit 25. Percentage of program participants having interaction with family and/or friends that are supportive of their recovery in the past 30 days</w:t>
        </w:r>
        <w:r>
          <w:rPr>
            <w:noProof/>
            <w:webHidden/>
          </w:rPr>
          <w:tab/>
        </w:r>
        <w:r>
          <w:rPr>
            <w:noProof/>
            <w:webHidden/>
          </w:rPr>
          <w:fldChar w:fldCharType="begin"/>
        </w:r>
        <w:r>
          <w:rPr>
            <w:noProof/>
            <w:webHidden/>
          </w:rPr>
          <w:instrText xml:space="preserve"> PAGEREF _Toc64988295 \h </w:instrText>
        </w:r>
        <w:r>
          <w:rPr>
            <w:noProof/>
            <w:webHidden/>
          </w:rPr>
        </w:r>
        <w:r>
          <w:rPr>
            <w:noProof/>
            <w:webHidden/>
          </w:rPr>
          <w:fldChar w:fldCharType="separate"/>
        </w:r>
        <w:r>
          <w:rPr>
            <w:noProof/>
            <w:webHidden/>
          </w:rPr>
          <w:t>26</w:t>
        </w:r>
        <w:r>
          <w:rPr>
            <w:noProof/>
            <w:webHidden/>
          </w:rPr>
          <w:fldChar w:fldCharType="end"/>
        </w:r>
      </w:hyperlink>
    </w:p>
    <w:p w14:paraId="0EAA04BD" w14:textId="48F61873" w:rsidR="003F16B0" w:rsidRDefault="003F16B0">
      <w:pPr>
        <w:pStyle w:val="TOC1"/>
        <w:rPr>
          <w:rFonts w:eastAsiaTheme="minorEastAsia"/>
          <w:noProof/>
          <w:color w:val="auto"/>
        </w:rPr>
      </w:pPr>
      <w:hyperlink w:anchor="_Toc64988296" w:history="1">
        <w:r w:rsidRPr="00471783">
          <w:rPr>
            <w:rStyle w:val="Hyperlink"/>
            <w:noProof/>
          </w:rPr>
          <w:t>Exhibit 26. Percentage of students who had at least one drink of alcohol during the past 30 days</w:t>
        </w:r>
        <w:r>
          <w:rPr>
            <w:noProof/>
            <w:webHidden/>
          </w:rPr>
          <w:tab/>
        </w:r>
        <w:r>
          <w:rPr>
            <w:noProof/>
            <w:webHidden/>
          </w:rPr>
          <w:fldChar w:fldCharType="begin"/>
        </w:r>
        <w:r>
          <w:rPr>
            <w:noProof/>
            <w:webHidden/>
          </w:rPr>
          <w:instrText xml:space="preserve"> PAGEREF _Toc64988296 \h </w:instrText>
        </w:r>
        <w:r>
          <w:rPr>
            <w:noProof/>
            <w:webHidden/>
          </w:rPr>
        </w:r>
        <w:r>
          <w:rPr>
            <w:noProof/>
            <w:webHidden/>
          </w:rPr>
          <w:fldChar w:fldCharType="separate"/>
        </w:r>
        <w:r>
          <w:rPr>
            <w:noProof/>
            <w:webHidden/>
          </w:rPr>
          <w:t>27</w:t>
        </w:r>
        <w:r>
          <w:rPr>
            <w:noProof/>
            <w:webHidden/>
          </w:rPr>
          <w:fldChar w:fldCharType="end"/>
        </w:r>
      </w:hyperlink>
    </w:p>
    <w:p w14:paraId="2B8489DF" w14:textId="590E0C35" w:rsidR="003F16B0" w:rsidRDefault="003F16B0">
      <w:pPr>
        <w:pStyle w:val="TOC1"/>
        <w:rPr>
          <w:rFonts w:eastAsiaTheme="minorEastAsia"/>
          <w:noProof/>
          <w:color w:val="auto"/>
        </w:rPr>
      </w:pPr>
      <w:hyperlink w:anchor="_Toc64988297" w:history="1">
        <w:r w:rsidRPr="00471783">
          <w:rPr>
            <w:rStyle w:val="Hyperlink"/>
            <w:noProof/>
          </w:rPr>
          <w:t>Exhibit 27. Percentage of students who binged* on alcohol during the past 30 days</w:t>
        </w:r>
        <w:r>
          <w:rPr>
            <w:noProof/>
            <w:webHidden/>
          </w:rPr>
          <w:tab/>
        </w:r>
        <w:r>
          <w:rPr>
            <w:noProof/>
            <w:webHidden/>
          </w:rPr>
          <w:fldChar w:fldCharType="begin"/>
        </w:r>
        <w:r>
          <w:rPr>
            <w:noProof/>
            <w:webHidden/>
          </w:rPr>
          <w:instrText xml:space="preserve"> PAGEREF _Toc64988297 \h </w:instrText>
        </w:r>
        <w:r>
          <w:rPr>
            <w:noProof/>
            <w:webHidden/>
          </w:rPr>
        </w:r>
        <w:r>
          <w:rPr>
            <w:noProof/>
            <w:webHidden/>
          </w:rPr>
          <w:fldChar w:fldCharType="separate"/>
        </w:r>
        <w:r>
          <w:rPr>
            <w:noProof/>
            <w:webHidden/>
          </w:rPr>
          <w:t>27</w:t>
        </w:r>
        <w:r>
          <w:rPr>
            <w:noProof/>
            <w:webHidden/>
          </w:rPr>
          <w:fldChar w:fldCharType="end"/>
        </w:r>
      </w:hyperlink>
    </w:p>
    <w:p w14:paraId="16AA073B" w14:textId="155670DC" w:rsidR="003F16B0" w:rsidRDefault="003F16B0">
      <w:pPr>
        <w:pStyle w:val="TOC1"/>
        <w:rPr>
          <w:rFonts w:eastAsiaTheme="minorEastAsia"/>
          <w:noProof/>
          <w:color w:val="auto"/>
        </w:rPr>
      </w:pPr>
      <w:hyperlink w:anchor="_Toc64988298" w:history="1">
        <w:r w:rsidRPr="00471783">
          <w:rPr>
            <w:rStyle w:val="Hyperlink"/>
            <w:noProof/>
          </w:rPr>
          <w:t>Exhibit 28. Percentage of students who perceive slight or no risk from binge drinking</w:t>
        </w:r>
        <w:r>
          <w:rPr>
            <w:noProof/>
            <w:webHidden/>
          </w:rPr>
          <w:tab/>
        </w:r>
        <w:r>
          <w:rPr>
            <w:noProof/>
            <w:webHidden/>
          </w:rPr>
          <w:fldChar w:fldCharType="begin"/>
        </w:r>
        <w:r>
          <w:rPr>
            <w:noProof/>
            <w:webHidden/>
          </w:rPr>
          <w:instrText xml:space="preserve"> PAGEREF _Toc64988298 \h </w:instrText>
        </w:r>
        <w:r>
          <w:rPr>
            <w:noProof/>
            <w:webHidden/>
          </w:rPr>
        </w:r>
        <w:r>
          <w:rPr>
            <w:noProof/>
            <w:webHidden/>
          </w:rPr>
          <w:fldChar w:fldCharType="separate"/>
        </w:r>
        <w:r>
          <w:rPr>
            <w:noProof/>
            <w:webHidden/>
          </w:rPr>
          <w:t>27</w:t>
        </w:r>
        <w:r>
          <w:rPr>
            <w:noProof/>
            <w:webHidden/>
          </w:rPr>
          <w:fldChar w:fldCharType="end"/>
        </w:r>
      </w:hyperlink>
    </w:p>
    <w:p w14:paraId="13E42666" w14:textId="2B89A29D" w:rsidR="003F16B0" w:rsidRDefault="003F16B0">
      <w:pPr>
        <w:pStyle w:val="TOC1"/>
        <w:rPr>
          <w:rFonts w:eastAsiaTheme="minorEastAsia"/>
          <w:noProof/>
          <w:color w:val="auto"/>
        </w:rPr>
      </w:pPr>
      <w:hyperlink w:anchor="_Toc64988299" w:history="1">
        <w:r w:rsidRPr="00471783">
          <w:rPr>
            <w:rStyle w:val="Hyperlink"/>
            <w:noProof/>
          </w:rPr>
          <w:t>Exhibit 29. Percentage of students who disapprove or strongly disapprove of alcohol use</w:t>
        </w:r>
        <w:r>
          <w:rPr>
            <w:noProof/>
            <w:webHidden/>
          </w:rPr>
          <w:tab/>
        </w:r>
        <w:r>
          <w:rPr>
            <w:noProof/>
            <w:webHidden/>
          </w:rPr>
          <w:fldChar w:fldCharType="begin"/>
        </w:r>
        <w:r>
          <w:rPr>
            <w:noProof/>
            <w:webHidden/>
          </w:rPr>
          <w:instrText xml:space="preserve"> PAGEREF _Toc64988299 \h </w:instrText>
        </w:r>
        <w:r>
          <w:rPr>
            <w:noProof/>
            <w:webHidden/>
          </w:rPr>
        </w:r>
        <w:r>
          <w:rPr>
            <w:noProof/>
            <w:webHidden/>
          </w:rPr>
          <w:fldChar w:fldCharType="separate"/>
        </w:r>
        <w:r>
          <w:rPr>
            <w:noProof/>
            <w:webHidden/>
          </w:rPr>
          <w:t>28</w:t>
        </w:r>
        <w:r>
          <w:rPr>
            <w:noProof/>
            <w:webHidden/>
          </w:rPr>
          <w:fldChar w:fldCharType="end"/>
        </w:r>
      </w:hyperlink>
    </w:p>
    <w:p w14:paraId="32A1C0DE" w14:textId="722C0510" w:rsidR="003F16B0" w:rsidRDefault="003F16B0">
      <w:pPr>
        <w:pStyle w:val="TOC1"/>
        <w:rPr>
          <w:rFonts w:eastAsiaTheme="minorEastAsia"/>
          <w:noProof/>
          <w:color w:val="auto"/>
        </w:rPr>
      </w:pPr>
      <w:hyperlink w:anchor="_Toc64988300" w:history="1">
        <w:r w:rsidRPr="00471783">
          <w:rPr>
            <w:rStyle w:val="Hyperlink"/>
            <w:noProof/>
          </w:rPr>
          <w:t>Exhibit 30. Percentage of students who used marijuana at least once during the past 30 days</w:t>
        </w:r>
        <w:r>
          <w:rPr>
            <w:noProof/>
            <w:webHidden/>
          </w:rPr>
          <w:tab/>
        </w:r>
        <w:r>
          <w:rPr>
            <w:noProof/>
            <w:webHidden/>
          </w:rPr>
          <w:fldChar w:fldCharType="begin"/>
        </w:r>
        <w:r>
          <w:rPr>
            <w:noProof/>
            <w:webHidden/>
          </w:rPr>
          <w:instrText xml:space="preserve"> PAGEREF _Toc64988300 \h </w:instrText>
        </w:r>
        <w:r>
          <w:rPr>
            <w:noProof/>
            <w:webHidden/>
          </w:rPr>
        </w:r>
        <w:r>
          <w:rPr>
            <w:noProof/>
            <w:webHidden/>
          </w:rPr>
          <w:fldChar w:fldCharType="separate"/>
        </w:r>
        <w:r>
          <w:rPr>
            <w:noProof/>
            <w:webHidden/>
          </w:rPr>
          <w:t>28</w:t>
        </w:r>
        <w:r>
          <w:rPr>
            <w:noProof/>
            <w:webHidden/>
          </w:rPr>
          <w:fldChar w:fldCharType="end"/>
        </w:r>
      </w:hyperlink>
    </w:p>
    <w:p w14:paraId="0270C5C4" w14:textId="47D42D0B" w:rsidR="003F16B0" w:rsidRDefault="003F16B0">
      <w:pPr>
        <w:pStyle w:val="TOC1"/>
        <w:rPr>
          <w:rFonts w:eastAsiaTheme="minorEastAsia"/>
          <w:noProof/>
          <w:color w:val="auto"/>
        </w:rPr>
      </w:pPr>
      <w:hyperlink w:anchor="_Toc64988301" w:history="1">
        <w:r w:rsidRPr="00471783">
          <w:rPr>
            <w:rStyle w:val="Hyperlink"/>
            <w:noProof/>
          </w:rPr>
          <w:t>Exhibit 31. Percentage of students who perceive slight or no risk from marijuana use</w:t>
        </w:r>
        <w:r>
          <w:rPr>
            <w:noProof/>
            <w:webHidden/>
          </w:rPr>
          <w:tab/>
        </w:r>
        <w:r>
          <w:rPr>
            <w:noProof/>
            <w:webHidden/>
          </w:rPr>
          <w:fldChar w:fldCharType="begin"/>
        </w:r>
        <w:r>
          <w:rPr>
            <w:noProof/>
            <w:webHidden/>
          </w:rPr>
          <w:instrText xml:space="preserve"> PAGEREF _Toc64988301 \h </w:instrText>
        </w:r>
        <w:r>
          <w:rPr>
            <w:noProof/>
            <w:webHidden/>
          </w:rPr>
        </w:r>
        <w:r>
          <w:rPr>
            <w:noProof/>
            <w:webHidden/>
          </w:rPr>
          <w:fldChar w:fldCharType="separate"/>
        </w:r>
        <w:r>
          <w:rPr>
            <w:noProof/>
            <w:webHidden/>
          </w:rPr>
          <w:t>28</w:t>
        </w:r>
        <w:r>
          <w:rPr>
            <w:noProof/>
            <w:webHidden/>
          </w:rPr>
          <w:fldChar w:fldCharType="end"/>
        </w:r>
      </w:hyperlink>
    </w:p>
    <w:p w14:paraId="3B5F9DC3" w14:textId="75C847C3" w:rsidR="003F16B0" w:rsidRDefault="003F16B0">
      <w:pPr>
        <w:pStyle w:val="TOC1"/>
        <w:rPr>
          <w:rFonts w:eastAsiaTheme="minorEastAsia"/>
          <w:noProof/>
          <w:color w:val="auto"/>
        </w:rPr>
      </w:pPr>
      <w:hyperlink w:anchor="_Toc64988302" w:history="1">
        <w:r w:rsidRPr="00471783">
          <w:rPr>
            <w:rStyle w:val="Hyperlink"/>
            <w:noProof/>
          </w:rPr>
          <w:t>Exhibit 32. Percentage of students who used electronic vaping products in the past 30 days</w:t>
        </w:r>
        <w:r>
          <w:rPr>
            <w:noProof/>
            <w:webHidden/>
          </w:rPr>
          <w:tab/>
        </w:r>
        <w:r>
          <w:rPr>
            <w:noProof/>
            <w:webHidden/>
          </w:rPr>
          <w:fldChar w:fldCharType="begin"/>
        </w:r>
        <w:r>
          <w:rPr>
            <w:noProof/>
            <w:webHidden/>
          </w:rPr>
          <w:instrText xml:space="preserve"> PAGEREF _Toc64988302 \h </w:instrText>
        </w:r>
        <w:r>
          <w:rPr>
            <w:noProof/>
            <w:webHidden/>
          </w:rPr>
        </w:r>
        <w:r>
          <w:rPr>
            <w:noProof/>
            <w:webHidden/>
          </w:rPr>
          <w:fldChar w:fldCharType="separate"/>
        </w:r>
        <w:r>
          <w:rPr>
            <w:noProof/>
            <w:webHidden/>
          </w:rPr>
          <w:t>29</w:t>
        </w:r>
        <w:r>
          <w:rPr>
            <w:noProof/>
            <w:webHidden/>
          </w:rPr>
          <w:fldChar w:fldCharType="end"/>
        </w:r>
      </w:hyperlink>
    </w:p>
    <w:p w14:paraId="5E34061A" w14:textId="0D0EA9A7" w:rsidR="003F16B0" w:rsidRDefault="003F16B0">
      <w:pPr>
        <w:pStyle w:val="TOC1"/>
        <w:rPr>
          <w:rFonts w:eastAsiaTheme="minorEastAsia"/>
          <w:noProof/>
          <w:color w:val="auto"/>
        </w:rPr>
      </w:pPr>
      <w:hyperlink w:anchor="_Toc64988303" w:history="1">
        <w:r w:rsidRPr="00471783">
          <w:rPr>
            <w:rStyle w:val="Hyperlink"/>
            <w:noProof/>
          </w:rPr>
          <w:t>Exhibit 33. Percentage of students who took a prescription drug without a doctor’s prescription at least once during the past 30 days</w:t>
        </w:r>
        <w:r>
          <w:rPr>
            <w:noProof/>
            <w:webHidden/>
          </w:rPr>
          <w:tab/>
        </w:r>
        <w:r>
          <w:rPr>
            <w:noProof/>
            <w:webHidden/>
          </w:rPr>
          <w:fldChar w:fldCharType="begin"/>
        </w:r>
        <w:r>
          <w:rPr>
            <w:noProof/>
            <w:webHidden/>
          </w:rPr>
          <w:instrText xml:space="preserve"> PAGEREF _Toc64988303 \h </w:instrText>
        </w:r>
        <w:r>
          <w:rPr>
            <w:noProof/>
            <w:webHidden/>
          </w:rPr>
        </w:r>
        <w:r>
          <w:rPr>
            <w:noProof/>
            <w:webHidden/>
          </w:rPr>
          <w:fldChar w:fldCharType="separate"/>
        </w:r>
        <w:r>
          <w:rPr>
            <w:noProof/>
            <w:webHidden/>
          </w:rPr>
          <w:t>29</w:t>
        </w:r>
        <w:r>
          <w:rPr>
            <w:noProof/>
            <w:webHidden/>
          </w:rPr>
          <w:fldChar w:fldCharType="end"/>
        </w:r>
      </w:hyperlink>
    </w:p>
    <w:p w14:paraId="0CDAF023" w14:textId="6F547EFD" w:rsidR="003F16B0" w:rsidRDefault="003F16B0">
      <w:pPr>
        <w:pStyle w:val="TOC1"/>
        <w:rPr>
          <w:rFonts w:eastAsiaTheme="minorEastAsia"/>
          <w:noProof/>
          <w:color w:val="auto"/>
        </w:rPr>
      </w:pPr>
      <w:hyperlink w:anchor="_Toc64988304" w:history="1">
        <w:r w:rsidRPr="00471783">
          <w:rPr>
            <w:rStyle w:val="Hyperlink"/>
            <w:noProof/>
          </w:rPr>
          <w:t>Exhibit 34. Percentage of students who felt sad or hopeless every day for 2 weeks in a row during the past 12 months</w:t>
        </w:r>
        <w:r>
          <w:rPr>
            <w:noProof/>
            <w:webHidden/>
          </w:rPr>
          <w:tab/>
        </w:r>
        <w:r>
          <w:rPr>
            <w:noProof/>
            <w:webHidden/>
          </w:rPr>
          <w:fldChar w:fldCharType="begin"/>
        </w:r>
        <w:r>
          <w:rPr>
            <w:noProof/>
            <w:webHidden/>
          </w:rPr>
          <w:instrText xml:space="preserve"> PAGEREF _Toc64988304 \h </w:instrText>
        </w:r>
        <w:r>
          <w:rPr>
            <w:noProof/>
            <w:webHidden/>
          </w:rPr>
        </w:r>
        <w:r>
          <w:rPr>
            <w:noProof/>
            <w:webHidden/>
          </w:rPr>
          <w:fldChar w:fldCharType="separate"/>
        </w:r>
        <w:r>
          <w:rPr>
            <w:noProof/>
            <w:webHidden/>
          </w:rPr>
          <w:t>29</w:t>
        </w:r>
        <w:r>
          <w:rPr>
            <w:noProof/>
            <w:webHidden/>
          </w:rPr>
          <w:fldChar w:fldCharType="end"/>
        </w:r>
      </w:hyperlink>
    </w:p>
    <w:p w14:paraId="463B1647" w14:textId="1CEF8A6A" w:rsidR="003F16B0" w:rsidRDefault="003F16B0">
      <w:pPr>
        <w:pStyle w:val="TOC1"/>
        <w:rPr>
          <w:rFonts w:eastAsiaTheme="minorEastAsia"/>
          <w:noProof/>
          <w:color w:val="auto"/>
        </w:rPr>
      </w:pPr>
      <w:hyperlink w:anchor="_Toc64988305" w:history="1">
        <w:r w:rsidRPr="00471783">
          <w:rPr>
            <w:rStyle w:val="Hyperlink"/>
            <w:noProof/>
          </w:rPr>
          <w:t>Exhibit 35. Percentage of students who did something to purposely hurt themselves without wanting to die during the past 12 months</w:t>
        </w:r>
        <w:r>
          <w:rPr>
            <w:noProof/>
            <w:webHidden/>
          </w:rPr>
          <w:tab/>
        </w:r>
        <w:r>
          <w:rPr>
            <w:noProof/>
            <w:webHidden/>
          </w:rPr>
          <w:fldChar w:fldCharType="begin"/>
        </w:r>
        <w:r>
          <w:rPr>
            <w:noProof/>
            <w:webHidden/>
          </w:rPr>
          <w:instrText xml:space="preserve"> PAGEREF _Toc64988305 \h </w:instrText>
        </w:r>
        <w:r>
          <w:rPr>
            <w:noProof/>
            <w:webHidden/>
          </w:rPr>
        </w:r>
        <w:r>
          <w:rPr>
            <w:noProof/>
            <w:webHidden/>
          </w:rPr>
          <w:fldChar w:fldCharType="separate"/>
        </w:r>
        <w:r>
          <w:rPr>
            <w:noProof/>
            <w:webHidden/>
          </w:rPr>
          <w:t>30</w:t>
        </w:r>
        <w:r>
          <w:rPr>
            <w:noProof/>
            <w:webHidden/>
          </w:rPr>
          <w:fldChar w:fldCharType="end"/>
        </w:r>
      </w:hyperlink>
    </w:p>
    <w:p w14:paraId="63D27809" w14:textId="051A89F6" w:rsidR="003F16B0" w:rsidRDefault="003F16B0">
      <w:pPr>
        <w:pStyle w:val="TOC1"/>
        <w:rPr>
          <w:rFonts w:eastAsiaTheme="minorEastAsia"/>
          <w:noProof/>
          <w:color w:val="auto"/>
        </w:rPr>
      </w:pPr>
      <w:hyperlink w:anchor="_Toc64988306" w:history="1">
        <w:r w:rsidRPr="00471783">
          <w:rPr>
            <w:rStyle w:val="Hyperlink"/>
            <w:noProof/>
          </w:rPr>
          <w:t>Exhibit 36. Percentage of students who seriously considered attempting suicide during the past 12 months</w:t>
        </w:r>
        <w:r>
          <w:rPr>
            <w:noProof/>
            <w:webHidden/>
          </w:rPr>
          <w:tab/>
        </w:r>
        <w:r>
          <w:rPr>
            <w:noProof/>
            <w:webHidden/>
          </w:rPr>
          <w:fldChar w:fldCharType="begin"/>
        </w:r>
        <w:r>
          <w:rPr>
            <w:noProof/>
            <w:webHidden/>
          </w:rPr>
          <w:instrText xml:space="preserve"> PAGEREF _Toc64988306 \h </w:instrText>
        </w:r>
        <w:r>
          <w:rPr>
            <w:noProof/>
            <w:webHidden/>
          </w:rPr>
        </w:r>
        <w:r>
          <w:rPr>
            <w:noProof/>
            <w:webHidden/>
          </w:rPr>
          <w:fldChar w:fldCharType="separate"/>
        </w:r>
        <w:r>
          <w:rPr>
            <w:noProof/>
            <w:webHidden/>
          </w:rPr>
          <w:t>30</w:t>
        </w:r>
        <w:r>
          <w:rPr>
            <w:noProof/>
            <w:webHidden/>
          </w:rPr>
          <w:fldChar w:fldCharType="end"/>
        </w:r>
      </w:hyperlink>
    </w:p>
    <w:p w14:paraId="1C53CDBC" w14:textId="0DC398D3" w:rsidR="003F16B0" w:rsidRDefault="003F16B0">
      <w:pPr>
        <w:pStyle w:val="TOC1"/>
        <w:rPr>
          <w:rFonts w:eastAsiaTheme="minorEastAsia"/>
          <w:noProof/>
          <w:color w:val="auto"/>
        </w:rPr>
      </w:pPr>
      <w:hyperlink w:anchor="_Toc64988307" w:history="1">
        <w:r w:rsidRPr="00471783">
          <w:rPr>
            <w:rStyle w:val="Hyperlink"/>
            <w:noProof/>
          </w:rPr>
          <w:t>Exhibit 37. Percentage of youth aged 12 to 20 reporting alcohol use in the past month</w:t>
        </w:r>
        <w:r>
          <w:rPr>
            <w:noProof/>
            <w:webHidden/>
          </w:rPr>
          <w:tab/>
        </w:r>
        <w:r>
          <w:rPr>
            <w:noProof/>
            <w:webHidden/>
          </w:rPr>
          <w:fldChar w:fldCharType="begin"/>
        </w:r>
        <w:r>
          <w:rPr>
            <w:noProof/>
            <w:webHidden/>
          </w:rPr>
          <w:instrText xml:space="preserve"> PAGEREF _Toc64988307 \h </w:instrText>
        </w:r>
        <w:r>
          <w:rPr>
            <w:noProof/>
            <w:webHidden/>
          </w:rPr>
        </w:r>
        <w:r>
          <w:rPr>
            <w:noProof/>
            <w:webHidden/>
          </w:rPr>
          <w:fldChar w:fldCharType="separate"/>
        </w:r>
        <w:r>
          <w:rPr>
            <w:noProof/>
            <w:webHidden/>
          </w:rPr>
          <w:t>31</w:t>
        </w:r>
        <w:r>
          <w:rPr>
            <w:noProof/>
            <w:webHidden/>
          </w:rPr>
          <w:fldChar w:fldCharType="end"/>
        </w:r>
      </w:hyperlink>
    </w:p>
    <w:p w14:paraId="56085E51" w14:textId="31F16F53" w:rsidR="003F16B0" w:rsidRDefault="003F16B0">
      <w:pPr>
        <w:pStyle w:val="TOC1"/>
        <w:rPr>
          <w:rFonts w:eastAsiaTheme="minorEastAsia"/>
          <w:noProof/>
          <w:color w:val="auto"/>
        </w:rPr>
      </w:pPr>
      <w:hyperlink w:anchor="_Toc64988308" w:history="1">
        <w:r w:rsidRPr="00471783">
          <w:rPr>
            <w:rStyle w:val="Hyperlink"/>
            <w:noProof/>
          </w:rPr>
          <w:t>Exhibit 38. Percentage of youth ages 12 to 20 reporting binge alcohol use in the past month</w:t>
        </w:r>
        <w:r>
          <w:rPr>
            <w:noProof/>
            <w:webHidden/>
          </w:rPr>
          <w:tab/>
        </w:r>
        <w:r>
          <w:rPr>
            <w:noProof/>
            <w:webHidden/>
          </w:rPr>
          <w:fldChar w:fldCharType="begin"/>
        </w:r>
        <w:r>
          <w:rPr>
            <w:noProof/>
            <w:webHidden/>
          </w:rPr>
          <w:instrText xml:space="preserve"> PAGEREF _Toc64988308 \h </w:instrText>
        </w:r>
        <w:r>
          <w:rPr>
            <w:noProof/>
            <w:webHidden/>
          </w:rPr>
        </w:r>
        <w:r>
          <w:rPr>
            <w:noProof/>
            <w:webHidden/>
          </w:rPr>
          <w:fldChar w:fldCharType="separate"/>
        </w:r>
        <w:r>
          <w:rPr>
            <w:noProof/>
            <w:webHidden/>
          </w:rPr>
          <w:t>31</w:t>
        </w:r>
        <w:r>
          <w:rPr>
            <w:noProof/>
            <w:webHidden/>
          </w:rPr>
          <w:fldChar w:fldCharType="end"/>
        </w:r>
      </w:hyperlink>
    </w:p>
    <w:p w14:paraId="1A172C09" w14:textId="75ED3337" w:rsidR="003F16B0" w:rsidRDefault="003F16B0">
      <w:pPr>
        <w:pStyle w:val="TOC1"/>
        <w:rPr>
          <w:rFonts w:eastAsiaTheme="minorEastAsia"/>
          <w:noProof/>
          <w:color w:val="auto"/>
        </w:rPr>
      </w:pPr>
      <w:hyperlink w:anchor="_Toc64988309" w:history="1">
        <w:r w:rsidRPr="00471783">
          <w:rPr>
            <w:rStyle w:val="Hyperlink"/>
            <w:noProof/>
          </w:rPr>
          <w:t>Exhibit 39. Percentage of students in New Hampshire who had at least one drink of alcohol during the past 30 days: Gender</w:t>
        </w:r>
        <w:r>
          <w:rPr>
            <w:noProof/>
            <w:webHidden/>
          </w:rPr>
          <w:tab/>
        </w:r>
        <w:r>
          <w:rPr>
            <w:noProof/>
            <w:webHidden/>
          </w:rPr>
          <w:fldChar w:fldCharType="begin"/>
        </w:r>
        <w:r>
          <w:rPr>
            <w:noProof/>
            <w:webHidden/>
          </w:rPr>
          <w:instrText xml:space="preserve"> PAGEREF _Toc64988309 \h </w:instrText>
        </w:r>
        <w:r>
          <w:rPr>
            <w:noProof/>
            <w:webHidden/>
          </w:rPr>
        </w:r>
        <w:r>
          <w:rPr>
            <w:noProof/>
            <w:webHidden/>
          </w:rPr>
          <w:fldChar w:fldCharType="separate"/>
        </w:r>
        <w:r>
          <w:rPr>
            <w:noProof/>
            <w:webHidden/>
          </w:rPr>
          <w:t>31</w:t>
        </w:r>
        <w:r>
          <w:rPr>
            <w:noProof/>
            <w:webHidden/>
          </w:rPr>
          <w:fldChar w:fldCharType="end"/>
        </w:r>
      </w:hyperlink>
    </w:p>
    <w:p w14:paraId="06010A3F" w14:textId="7AC61DD0" w:rsidR="003F16B0" w:rsidRDefault="003F16B0">
      <w:pPr>
        <w:pStyle w:val="TOC1"/>
        <w:rPr>
          <w:rFonts w:eastAsiaTheme="minorEastAsia"/>
          <w:noProof/>
          <w:color w:val="auto"/>
        </w:rPr>
      </w:pPr>
      <w:hyperlink w:anchor="_Toc64988310" w:history="1">
        <w:r w:rsidRPr="00471783">
          <w:rPr>
            <w:rStyle w:val="Hyperlink"/>
            <w:noProof/>
          </w:rPr>
          <w:t>Exhibit 40. Percentage of students in New Hampshire who had at least one drink of alcohol during the past 30 days: Age</w:t>
        </w:r>
        <w:r>
          <w:rPr>
            <w:noProof/>
            <w:webHidden/>
          </w:rPr>
          <w:tab/>
        </w:r>
        <w:r>
          <w:rPr>
            <w:noProof/>
            <w:webHidden/>
          </w:rPr>
          <w:fldChar w:fldCharType="begin"/>
        </w:r>
        <w:r>
          <w:rPr>
            <w:noProof/>
            <w:webHidden/>
          </w:rPr>
          <w:instrText xml:space="preserve"> PAGEREF _Toc64988310 \h </w:instrText>
        </w:r>
        <w:r>
          <w:rPr>
            <w:noProof/>
            <w:webHidden/>
          </w:rPr>
        </w:r>
        <w:r>
          <w:rPr>
            <w:noProof/>
            <w:webHidden/>
          </w:rPr>
          <w:fldChar w:fldCharType="separate"/>
        </w:r>
        <w:r>
          <w:rPr>
            <w:noProof/>
            <w:webHidden/>
          </w:rPr>
          <w:t>32</w:t>
        </w:r>
        <w:r>
          <w:rPr>
            <w:noProof/>
            <w:webHidden/>
          </w:rPr>
          <w:fldChar w:fldCharType="end"/>
        </w:r>
      </w:hyperlink>
    </w:p>
    <w:p w14:paraId="70F2D678" w14:textId="773BE2C9" w:rsidR="003F16B0" w:rsidRDefault="003F16B0">
      <w:pPr>
        <w:pStyle w:val="TOC1"/>
        <w:rPr>
          <w:rFonts w:eastAsiaTheme="minorEastAsia"/>
          <w:noProof/>
          <w:color w:val="auto"/>
        </w:rPr>
      </w:pPr>
      <w:hyperlink w:anchor="_Toc64988311" w:history="1">
        <w:r w:rsidRPr="00471783">
          <w:rPr>
            <w:rStyle w:val="Hyperlink"/>
            <w:noProof/>
          </w:rPr>
          <w:t>Exhibit 41. Percentage of students in New Hampshire who had at least one drink of alcohol during the past 30 days: Race/Ethnicity</w:t>
        </w:r>
        <w:r>
          <w:rPr>
            <w:noProof/>
            <w:webHidden/>
          </w:rPr>
          <w:tab/>
        </w:r>
        <w:r>
          <w:rPr>
            <w:noProof/>
            <w:webHidden/>
          </w:rPr>
          <w:fldChar w:fldCharType="begin"/>
        </w:r>
        <w:r>
          <w:rPr>
            <w:noProof/>
            <w:webHidden/>
          </w:rPr>
          <w:instrText xml:space="preserve"> PAGEREF _Toc64988311 \h </w:instrText>
        </w:r>
        <w:r>
          <w:rPr>
            <w:noProof/>
            <w:webHidden/>
          </w:rPr>
        </w:r>
        <w:r>
          <w:rPr>
            <w:noProof/>
            <w:webHidden/>
          </w:rPr>
          <w:fldChar w:fldCharType="separate"/>
        </w:r>
        <w:r>
          <w:rPr>
            <w:noProof/>
            <w:webHidden/>
          </w:rPr>
          <w:t>32</w:t>
        </w:r>
        <w:r>
          <w:rPr>
            <w:noProof/>
            <w:webHidden/>
          </w:rPr>
          <w:fldChar w:fldCharType="end"/>
        </w:r>
      </w:hyperlink>
    </w:p>
    <w:p w14:paraId="2F1AB3A7" w14:textId="34E4CBCA" w:rsidR="003F16B0" w:rsidRDefault="003F16B0">
      <w:pPr>
        <w:pStyle w:val="TOC1"/>
        <w:rPr>
          <w:rFonts w:eastAsiaTheme="minorEastAsia"/>
          <w:noProof/>
          <w:color w:val="auto"/>
        </w:rPr>
      </w:pPr>
      <w:hyperlink w:anchor="_Toc64988312" w:history="1">
        <w:r w:rsidRPr="00471783">
          <w:rPr>
            <w:rStyle w:val="Hyperlink"/>
            <w:noProof/>
          </w:rPr>
          <w:t>Exhibit 42. Percentage reporting marijuana use in the past month among youth ages 12-17</w:t>
        </w:r>
        <w:r>
          <w:rPr>
            <w:noProof/>
            <w:webHidden/>
          </w:rPr>
          <w:tab/>
        </w:r>
        <w:r>
          <w:rPr>
            <w:noProof/>
            <w:webHidden/>
          </w:rPr>
          <w:fldChar w:fldCharType="begin"/>
        </w:r>
        <w:r>
          <w:rPr>
            <w:noProof/>
            <w:webHidden/>
          </w:rPr>
          <w:instrText xml:space="preserve"> PAGEREF _Toc64988312 \h </w:instrText>
        </w:r>
        <w:r>
          <w:rPr>
            <w:noProof/>
            <w:webHidden/>
          </w:rPr>
        </w:r>
        <w:r>
          <w:rPr>
            <w:noProof/>
            <w:webHidden/>
          </w:rPr>
          <w:fldChar w:fldCharType="separate"/>
        </w:r>
        <w:r>
          <w:rPr>
            <w:noProof/>
            <w:webHidden/>
          </w:rPr>
          <w:t>32</w:t>
        </w:r>
        <w:r>
          <w:rPr>
            <w:noProof/>
            <w:webHidden/>
          </w:rPr>
          <w:fldChar w:fldCharType="end"/>
        </w:r>
      </w:hyperlink>
    </w:p>
    <w:p w14:paraId="2E6AE376" w14:textId="5348696B" w:rsidR="003F16B0" w:rsidRDefault="003F16B0">
      <w:pPr>
        <w:pStyle w:val="TOC1"/>
        <w:rPr>
          <w:rFonts w:eastAsiaTheme="minorEastAsia"/>
          <w:noProof/>
          <w:color w:val="auto"/>
        </w:rPr>
      </w:pPr>
      <w:hyperlink w:anchor="_Toc64988313" w:history="1">
        <w:r w:rsidRPr="00471783">
          <w:rPr>
            <w:rStyle w:val="Hyperlink"/>
            <w:noProof/>
          </w:rPr>
          <w:t>Exhibit 43. Percentage reporting marijuana use in past month among individuals ages 18-25</w:t>
        </w:r>
        <w:r>
          <w:rPr>
            <w:noProof/>
            <w:webHidden/>
          </w:rPr>
          <w:tab/>
        </w:r>
        <w:r>
          <w:rPr>
            <w:noProof/>
            <w:webHidden/>
          </w:rPr>
          <w:fldChar w:fldCharType="begin"/>
        </w:r>
        <w:r>
          <w:rPr>
            <w:noProof/>
            <w:webHidden/>
          </w:rPr>
          <w:instrText xml:space="preserve"> PAGEREF _Toc64988313 \h </w:instrText>
        </w:r>
        <w:r>
          <w:rPr>
            <w:noProof/>
            <w:webHidden/>
          </w:rPr>
        </w:r>
        <w:r>
          <w:rPr>
            <w:noProof/>
            <w:webHidden/>
          </w:rPr>
          <w:fldChar w:fldCharType="separate"/>
        </w:r>
        <w:r>
          <w:rPr>
            <w:noProof/>
            <w:webHidden/>
          </w:rPr>
          <w:t>33</w:t>
        </w:r>
        <w:r>
          <w:rPr>
            <w:noProof/>
            <w:webHidden/>
          </w:rPr>
          <w:fldChar w:fldCharType="end"/>
        </w:r>
      </w:hyperlink>
    </w:p>
    <w:p w14:paraId="55A4FEE2" w14:textId="2F17373B" w:rsidR="003F16B0" w:rsidRDefault="003F16B0">
      <w:pPr>
        <w:pStyle w:val="TOC1"/>
        <w:rPr>
          <w:rFonts w:eastAsiaTheme="minorEastAsia"/>
          <w:noProof/>
          <w:color w:val="auto"/>
        </w:rPr>
      </w:pPr>
      <w:hyperlink w:anchor="_Toc64988314" w:history="1">
        <w:r w:rsidRPr="00471783">
          <w:rPr>
            <w:rStyle w:val="Hyperlink"/>
            <w:noProof/>
          </w:rPr>
          <w:t>Exhibit 44. Percentage of students in New Hampshire who used marijuana at least once during the past 30 days: Gender</w:t>
        </w:r>
        <w:r>
          <w:rPr>
            <w:noProof/>
            <w:webHidden/>
          </w:rPr>
          <w:tab/>
        </w:r>
        <w:r>
          <w:rPr>
            <w:noProof/>
            <w:webHidden/>
          </w:rPr>
          <w:fldChar w:fldCharType="begin"/>
        </w:r>
        <w:r>
          <w:rPr>
            <w:noProof/>
            <w:webHidden/>
          </w:rPr>
          <w:instrText xml:space="preserve"> PAGEREF _Toc64988314 \h </w:instrText>
        </w:r>
        <w:r>
          <w:rPr>
            <w:noProof/>
            <w:webHidden/>
          </w:rPr>
        </w:r>
        <w:r>
          <w:rPr>
            <w:noProof/>
            <w:webHidden/>
          </w:rPr>
          <w:fldChar w:fldCharType="separate"/>
        </w:r>
        <w:r>
          <w:rPr>
            <w:noProof/>
            <w:webHidden/>
          </w:rPr>
          <w:t>33</w:t>
        </w:r>
        <w:r>
          <w:rPr>
            <w:noProof/>
            <w:webHidden/>
          </w:rPr>
          <w:fldChar w:fldCharType="end"/>
        </w:r>
      </w:hyperlink>
    </w:p>
    <w:p w14:paraId="35D2F5D9" w14:textId="7330191D" w:rsidR="003F16B0" w:rsidRDefault="003F16B0">
      <w:pPr>
        <w:pStyle w:val="TOC1"/>
        <w:rPr>
          <w:rFonts w:eastAsiaTheme="minorEastAsia"/>
          <w:noProof/>
          <w:color w:val="auto"/>
        </w:rPr>
      </w:pPr>
      <w:hyperlink w:anchor="_Toc64988315" w:history="1">
        <w:r w:rsidRPr="00471783">
          <w:rPr>
            <w:rStyle w:val="Hyperlink"/>
            <w:noProof/>
          </w:rPr>
          <w:t>Exhibit 45. Percentage of students in New Hampshire who used marijuana at least once during the past 30 days: Age</w:t>
        </w:r>
        <w:r>
          <w:rPr>
            <w:noProof/>
            <w:webHidden/>
          </w:rPr>
          <w:tab/>
        </w:r>
        <w:r>
          <w:rPr>
            <w:noProof/>
            <w:webHidden/>
          </w:rPr>
          <w:fldChar w:fldCharType="begin"/>
        </w:r>
        <w:r>
          <w:rPr>
            <w:noProof/>
            <w:webHidden/>
          </w:rPr>
          <w:instrText xml:space="preserve"> PAGEREF _Toc64988315 \h </w:instrText>
        </w:r>
        <w:r>
          <w:rPr>
            <w:noProof/>
            <w:webHidden/>
          </w:rPr>
        </w:r>
        <w:r>
          <w:rPr>
            <w:noProof/>
            <w:webHidden/>
          </w:rPr>
          <w:fldChar w:fldCharType="separate"/>
        </w:r>
        <w:r>
          <w:rPr>
            <w:noProof/>
            <w:webHidden/>
          </w:rPr>
          <w:t>33</w:t>
        </w:r>
        <w:r>
          <w:rPr>
            <w:noProof/>
            <w:webHidden/>
          </w:rPr>
          <w:fldChar w:fldCharType="end"/>
        </w:r>
      </w:hyperlink>
    </w:p>
    <w:p w14:paraId="792E6630" w14:textId="233E3A0A" w:rsidR="003F16B0" w:rsidRDefault="003F16B0">
      <w:pPr>
        <w:pStyle w:val="TOC1"/>
        <w:rPr>
          <w:rFonts w:eastAsiaTheme="minorEastAsia"/>
          <w:noProof/>
          <w:color w:val="auto"/>
        </w:rPr>
      </w:pPr>
      <w:hyperlink w:anchor="_Toc64988316" w:history="1">
        <w:r w:rsidRPr="00471783">
          <w:rPr>
            <w:rStyle w:val="Hyperlink"/>
            <w:noProof/>
          </w:rPr>
          <w:t>Exhibit 46. Percentage of students in New Hampshire who used marijuana at least once during the past 30 days: Race/Ethnicity</w:t>
        </w:r>
        <w:r>
          <w:rPr>
            <w:noProof/>
            <w:webHidden/>
          </w:rPr>
          <w:tab/>
        </w:r>
        <w:r>
          <w:rPr>
            <w:noProof/>
            <w:webHidden/>
          </w:rPr>
          <w:fldChar w:fldCharType="begin"/>
        </w:r>
        <w:r>
          <w:rPr>
            <w:noProof/>
            <w:webHidden/>
          </w:rPr>
          <w:instrText xml:space="preserve"> PAGEREF _Toc64988316 \h </w:instrText>
        </w:r>
        <w:r>
          <w:rPr>
            <w:noProof/>
            <w:webHidden/>
          </w:rPr>
        </w:r>
        <w:r>
          <w:rPr>
            <w:noProof/>
            <w:webHidden/>
          </w:rPr>
          <w:fldChar w:fldCharType="separate"/>
        </w:r>
        <w:r>
          <w:rPr>
            <w:noProof/>
            <w:webHidden/>
          </w:rPr>
          <w:t>34</w:t>
        </w:r>
        <w:r>
          <w:rPr>
            <w:noProof/>
            <w:webHidden/>
          </w:rPr>
          <w:fldChar w:fldCharType="end"/>
        </w:r>
      </w:hyperlink>
    </w:p>
    <w:p w14:paraId="04132FE9" w14:textId="1B6F7100" w:rsidR="003F16B0" w:rsidRDefault="003F16B0">
      <w:pPr>
        <w:pStyle w:val="TOC1"/>
        <w:rPr>
          <w:rFonts w:eastAsiaTheme="minorEastAsia"/>
          <w:noProof/>
          <w:color w:val="auto"/>
        </w:rPr>
      </w:pPr>
      <w:hyperlink w:anchor="_Toc64988317" w:history="1">
        <w:r w:rsidRPr="00471783">
          <w:rPr>
            <w:rStyle w:val="Hyperlink"/>
            <w:noProof/>
          </w:rPr>
          <w:t>Exhibit 47. Percentage of students in New Hampshire who took a prescription drug without a doctor’s prescription at least once during the past 30 days: Gender</w:t>
        </w:r>
        <w:r>
          <w:rPr>
            <w:noProof/>
            <w:webHidden/>
          </w:rPr>
          <w:tab/>
        </w:r>
        <w:r>
          <w:rPr>
            <w:noProof/>
            <w:webHidden/>
          </w:rPr>
          <w:fldChar w:fldCharType="begin"/>
        </w:r>
        <w:r>
          <w:rPr>
            <w:noProof/>
            <w:webHidden/>
          </w:rPr>
          <w:instrText xml:space="preserve"> PAGEREF _Toc64988317 \h </w:instrText>
        </w:r>
        <w:r>
          <w:rPr>
            <w:noProof/>
            <w:webHidden/>
          </w:rPr>
        </w:r>
        <w:r>
          <w:rPr>
            <w:noProof/>
            <w:webHidden/>
          </w:rPr>
          <w:fldChar w:fldCharType="separate"/>
        </w:r>
        <w:r>
          <w:rPr>
            <w:noProof/>
            <w:webHidden/>
          </w:rPr>
          <w:t>34</w:t>
        </w:r>
        <w:r>
          <w:rPr>
            <w:noProof/>
            <w:webHidden/>
          </w:rPr>
          <w:fldChar w:fldCharType="end"/>
        </w:r>
      </w:hyperlink>
    </w:p>
    <w:p w14:paraId="6F21A37B" w14:textId="1C16D5AE" w:rsidR="003F16B0" w:rsidRDefault="003F16B0">
      <w:pPr>
        <w:pStyle w:val="TOC1"/>
        <w:rPr>
          <w:rFonts w:eastAsiaTheme="minorEastAsia"/>
          <w:noProof/>
          <w:color w:val="auto"/>
        </w:rPr>
      </w:pPr>
      <w:hyperlink w:anchor="_Toc64988318" w:history="1">
        <w:r w:rsidRPr="00471783">
          <w:rPr>
            <w:rStyle w:val="Hyperlink"/>
            <w:noProof/>
          </w:rPr>
          <w:t>Exhibit 48. Percentage of students in New Hampshire who took a prescription drug without a doctor’s prescription at least once during the past 30 days: Age</w:t>
        </w:r>
        <w:r>
          <w:rPr>
            <w:noProof/>
            <w:webHidden/>
          </w:rPr>
          <w:tab/>
        </w:r>
        <w:r>
          <w:rPr>
            <w:noProof/>
            <w:webHidden/>
          </w:rPr>
          <w:fldChar w:fldCharType="begin"/>
        </w:r>
        <w:r>
          <w:rPr>
            <w:noProof/>
            <w:webHidden/>
          </w:rPr>
          <w:instrText xml:space="preserve"> PAGEREF _Toc64988318 \h </w:instrText>
        </w:r>
        <w:r>
          <w:rPr>
            <w:noProof/>
            <w:webHidden/>
          </w:rPr>
        </w:r>
        <w:r>
          <w:rPr>
            <w:noProof/>
            <w:webHidden/>
          </w:rPr>
          <w:fldChar w:fldCharType="separate"/>
        </w:r>
        <w:r>
          <w:rPr>
            <w:noProof/>
            <w:webHidden/>
          </w:rPr>
          <w:t>34</w:t>
        </w:r>
        <w:r>
          <w:rPr>
            <w:noProof/>
            <w:webHidden/>
          </w:rPr>
          <w:fldChar w:fldCharType="end"/>
        </w:r>
      </w:hyperlink>
    </w:p>
    <w:p w14:paraId="78899B78" w14:textId="38424114" w:rsidR="003F16B0" w:rsidRDefault="003F16B0">
      <w:pPr>
        <w:pStyle w:val="TOC1"/>
        <w:rPr>
          <w:rFonts w:eastAsiaTheme="minorEastAsia"/>
          <w:noProof/>
          <w:color w:val="auto"/>
        </w:rPr>
      </w:pPr>
      <w:hyperlink w:anchor="_Toc64988319" w:history="1">
        <w:r w:rsidRPr="00471783">
          <w:rPr>
            <w:rStyle w:val="Hyperlink"/>
            <w:noProof/>
          </w:rPr>
          <w:t>Exhibit 49. Percentage of students in New Hampshire who took a prescription drug without a doctor’s prescription at least once during the past 30 days: Race/Ethnicity</w:t>
        </w:r>
        <w:r>
          <w:rPr>
            <w:noProof/>
            <w:webHidden/>
          </w:rPr>
          <w:tab/>
        </w:r>
        <w:r>
          <w:rPr>
            <w:noProof/>
            <w:webHidden/>
          </w:rPr>
          <w:fldChar w:fldCharType="begin"/>
        </w:r>
        <w:r>
          <w:rPr>
            <w:noProof/>
            <w:webHidden/>
          </w:rPr>
          <w:instrText xml:space="preserve"> PAGEREF _Toc64988319 \h </w:instrText>
        </w:r>
        <w:r>
          <w:rPr>
            <w:noProof/>
            <w:webHidden/>
          </w:rPr>
        </w:r>
        <w:r>
          <w:rPr>
            <w:noProof/>
            <w:webHidden/>
          </w:rPr>
          <w:fldChar w:fldCharType="separate"/>
        </w:r>
        <w:r>
          <w:rPr>
            <w:noProof/>
            <w:webHidden/>
          </w:rPr>
          <w:t>35</w:t>
        </w:r>
        <w:r>
          <w:rPr>
            <w:noProof/>
            <w:webHidden/>
          </w:rPr>
          <w:fldChar w:fldCharType="end"/>
        </w:r>
      </w:hyperlink>
    </w:p>
    <w:p w14:paraId="521E391D" w14:textId="75468F44" w:rsidR="003F16B0" w:rsidRDefault="003F16B0">
      <w:pPr>
        <w:pStyle w:val="TOC1"/>
        <w:rPr>
          <w:rFonts w:eastAsiaTheme="minorEastAsia"/>
          <w:noProof/>
          <w:color w:val="auto"/>
        </w:rPr>
      </w:pPr>
      <w:hyperlink w:anchor="_Toc64988320" w:history="1">
        <w:r w:rsidRPr="00471783">
          <w:rPr>
            <w:rStyle w:val="Hyperlink"/>
            <w:noProof/>
          </w:rPr>
          <w:t>Exhibit 50. Percentage reporting mental illness in past year among individuals ages 18-25</w:t>
        </w:r>
        <w:r>
          <w:rPr>
            <w:noProof/>
            <w:webHidden/>
          </w:rPr>
          <w:tab/>
        </w:r>
        <w:r>
          <w:rPr>
            <w:noProof/>
            <w:webHidden/>
          </w:rPr>
          <w:fldChar w:fldCharType="begin"/>
        </w:r>
        <w:r>
          <w:rPr>
            <w:noProof/>
            <w:webHidden/>
          </w:rPr>
          <w:instrText xml:space="preserve"> PAGEREF _Toc64988320 \h </w:instrText>
        </w:r>
        <w:r>
          <w:rPr>
            <w:noProof/>
            <w:webHidden/>
          </w:rPr>
        </w:r>
        <w:r>
          <w:rPr>
            <w:noProof/>
            <w:webHidden/>
          </w:rPr>
          <w:fldChar w:fldCharType="separate"/>
        </w:r>
        <w:r>
          <w:rPr>
            <w:noProof/>
            <w:webHidden/>
          </w:rPr>
          <w:t>35</w:t>
        </w:r>
        <w:r>
          <w:rPr>
            <w:noProof/>
            <w:webHidden/>
          </w:rPr>
          <w:fldChar w:fldCharType="end"/>
        </w:r>
      </w:hyperlink>
    </w:p>
    <w:p w14:paraId="6C81E460" w14:textId="3B165E81" w:rsidR="003F16B0" w:rsidRDefault="003F16B0">
      <w:pPr>
        <w:pStyle w:val="TOC1"/>
        <w:rPr>
          <w:rFonts w:eastAsiaTheme="minorEastAsia"/>
          <w:noProof/>
          <w:color w:val="auto"/>
        </w:rPr>
      </w:pPr>
      <w:hyperlink w:anchor="_Toc64988321" w:history="1">
        <w:r w:rsidRPr="00471783">
          <w:rPr>
            <w:rStyle w:val="Hyperlink"/>
            <w:noProof/>
          </w:rPr>
          <w:t>Exhibit 51. Percentage reporting major depressive episode in the past year among youth ages 12-17</w:t>
        </w:r>
        <w:r>
          <w:rPr>
            <w:noProof/>
            <w:webHidden/>
          </w:rPr>
          <w:tab/>
        </w:r>
        <w:r>
          <w:rPr>
            <w:noProof/>
            <w:webHidden/>
          </w:rPr>
          <w:fldChar w:fldCharType="begin"/>
        </w:r>
        <w:r>
          <w:rPr>
            <w:noProof/>
            <w:webHidden/>
          </w:rPr>
          <w:instrText xml:space="preserve"> PAGEREF _Toc64988321 \h </w:instrText>
        </w:r>
        <w:r>
          <w:rPr>
            <w:noProof/>
            <w:webHidden/>
          </w:rPr>
        </w:r>
        <w:r>
          <w:rPr>
            <w:noProof/>
            <w:webHidden/>
          </w:rPr>
          <w:fldChar w:fldCharType="separate"/>
        </w:r>
        <w:r>
          <w:rPr>
            <w:noProof/>
            <w:webHidden/>
          </w:rPr>
          <w:t>35</w:t>
        </w:r>
        <w:r>
          <w:rPr>
            <w:noProof/>
            <w:webHidden/>
          </w:rPr>
          <w:fldChar w:fldCharType="end"/>
        </w:r>
      </w:hyperlink>
    </w:p>
    <w:p w14:paraId="4E2324B8" w14:textId="352E883D" w:rsidR="003F16B0" w:rsidRDefault="003F16B0">
      <w:pPr>
        <w:pStyle w:val="TOC1"/>
        <w:rPr>
          <w:rFonts w:eastAsiaTheme="minorEastAsia"/>
          <w:noProof/>
          <w:color w:val="auto"/>
        </w:rPr>
      </w:pPr>
      <w:hyperlink w:anchor="_Toc64988322" w:history="1">
        <w:r w:rsidRPr="00471783">
          <w:rPr>
            <w:rStyle w:val="Hyperlink"/>
            <w:noProof/>
          </w:rPr>
          <w:t>Exhibit 52. Percentage reporting major depressive episode in the past year among individuals ages 18-25</w:t>
        </w:r>
        <w:r>
          <w:rPr>
            <w:noProof/>
            <w:webHidden/>
          </w:rPr>
          <w:tab/>
        </w:r>
        <w:r>
          <w:rPr>
            <w:noProof/>
            <w:webHidden/>
          </w:rPr>
          <w:fldChar w:fldCharType="begin"/>
        </w:r>
        <w:r>
          <w:rPr>
            <w:noProof/>
            <w:webHidden/>
          </w:rPr>
          <w:instrText xml:space="preserve"> PAGEREF _Toc64988322 \h </w:instrText>
        </w:r>
        <w:r>
          <w:rPr>
            <w:noProof/>
            <w:webHidden/>
          </w:rPr>
        </w:r>
        <w:r>
          <w:rPr>
            <w:noProof/>
            <w:webHidden/>
          </w:rPr>
          <w:fldChar w:fldCharType="separate"/>
        </w:r>
        <w:r>
          <w:rPr>
            <w:noProof/>
            <w:webHidden/>
          </w:rPr>
          <w:t>36</w:t>
        </w:r>
        <w:r>
          <w:rPr>
            <w:noProof/>
            <w:webHidden/>
          </w:rPr>
          <w:fldChar w:fldCharType="end"/>
        </w:r>
      </w:hyperlink>
    </w:p>
    <w:p w14:paraId="35448BC6" w14:textId="7C597489" w:rsidR="003F16B0" w:rsidRDefault="003F16B0">
      <w:pPr>
        <w:pStyle w:val="TOC1"/>
        <w:rPr>
          <w:rFonts w:eastAsiaTheme="minorEastAsia"/>
          <w:noProof/>
          <w:color w:val="auto"/>
        </w:rPr>
      </w:pPr>
      <w:hyperlink w:anchor="_Toc64988323" w:history="1">
        <w:r w:rsidRPr="00471783">
          <w:rPr>
            <w:rStyle w:val="Hyperlink"/>
            <w:noProof/>
          </w:rPr>
          <w:t>Exhibit 53. Percentage who had serious thoughts of suicide among individuals ages 18-25</w:t>
        </w:r>
        <w:r>
          <w:rPr>
            <w:noProof/>
            <w:webHidden/>
          </w:rPr>
          <w:tab/>
        </w:r>
        <w:r>
          <w:rPr>
            <w:noProof/>
            <w:webHidden/>
          </w:rPr>
          <w:fldChar w:fldCharType="begin"/>
        </w:r>
        <w:r>
          <w:rPr>
            <w:noProof/>
            <w:webHidden/>
          </w:rPr>
          <w:instrText xml:space="preserve"> PAGEREF _Toc64988323 \h </w:instrText>
        </w:r>
        <w:r>
          <w:rPr>
            <w:noProof/>
            <w:webHidden/>
          </w:rPr>
        </w:r>
        <w:r>
          <w:rPr>
            <w:noProof/>
            <w:webHidden/>
          </w:rPr>
          <w:fldChar w:fldCharType="separate"/>
        </w:r>
        <w:r>
          <w:rPr>
            <w:noProof/>
            <w:webHidden/>
          </w:rPr>
          <w:t>36</w:t>
        </w:r>
        <w:r>
          <w:rPr>
            <w:noProof/>
            <w:webHidden/>
          </w:rPr>
          <w:fldChar w:fldCharType="end"/>
        </w:r>
      </w:hyperlink>
    </w:p>
    <w:p w14:paraId="21B2F81C" w14:textId="168F8945" w:rsidR="003F16B0" w:rsidRDefault="003F16B0">
      <w:pPr>
        <w:pStyle w:val="TOC1"/>
        <w:rPr>
          <w:rFonts w:eastAsiaTheme="minorEastAsia"/>
          <w:noProof/>
          <w:color w:val="auto"/>
        </w:rPr>
      </w:pPr>
      <w:hyperlink w:anchor="_Toc64988324" w:history="1">
        <w:r w:rsidRPr="00471783">
          <w:rPr>
            <w:rStyle w:val="Hyperlink"/>
            <w:noProof/>
          </w:rPr>
          <w:t>Exhibit 54. Percentage of students in New Hampshire who seriously considered attempting suicide during the past 12 months: Gender</w:t>
        </w:r>
        <w:r>
          <w:rPr>
            <w:noProof/>
            <w:webHidden/>
          </w:rPr>
          <w:tab/>
        </w:r>
        <w:r>
          <w:rPr>
            <w:noProof/>
            <w:webHidden/>
          </w:rPr>
          <w:fldChar w:fldCharType="begin"/>
        </w:r>
        <w:r>
          <w:rPr>
            <w:noProof/>
            <w:webHidden/>
          </w:rPr>
          <w:instrText xml:space="preserve"> PAGEREF _Toc64988324 \h </w:instrText>
        </w:r>
        <w:r>
          <w:rPr>
            <w:noProof/>
            <w:webHidden/>
          </w:rPr>
        </w:r>
        <w:r>
          <w:rPr>
            <w:noProof/>
            <w:webHidden/>
          </w:rPr>
          <w:fldChar w:fldCharType="separate"/>
        </w:r>
        <w:r>
          <w:rPr>
            <w:noProof/>
            <w:webHidden/>
          </w:rPr>
          <w:t>36</w:t>
        </w:r>
        <w:r>
          <w:rPr>
            <w:noProof/>
            <w:webHidden/>
          </w:rPr>
          <w:fldChar w:fldCharType="end"/>
        </w:r>
      </w:hyperlink>
    </w:p>
    <w:p w14:paraId="69E50118" w14:textId="001D3608" w:rsidR="003F16B0" w:rsidRDefault="003F16B0">
      <w:pPr>
        <w:pStyle w:val="TOC1"/>
        <w:rPr>
          <w:rFonts w:eastAsiaTheme="minorEastAsia"/>
          <w:noProof/>
          <w:color w:val="auto"/>
        </w:rPr>
      </w:pPr>
      <w:hyperlink w:anchor="_Toc64988325" w:history="1">
        <w:r w:rsidRPr="00471783">
          <w:rPr>
            <w:rStyle w:val="Hyperlink"/>
            <w:noProof/>
          </w:rPr>
          <w:t>Exhibit 55. Percentage of students in New Hampshire who seriously considered attempting suicide during the past 12 months: Age</w:t>
        </w:r>
        <w:r>
          <w:rPr>
            <w:noProof/>
            <w:webHidden/>
          </w:rPr>
          <w:tab/>
        </w:r>
        <w:r>
          <w:rPr>
            <w:noProof/>
            <w:webHidden/>
          </w:rPr>
          <w:fldChar w:fldCharType="begin"/>
        </w:r>
        <w:r>
          <w:rPr>
            <w:noProof/>
            <w:webHidden/>
          </w:rPr>
          <w:instrText xml:space="preserve"> PAGEREF _Toc64988325 \h </w:instrText>
        </w:r>
        <w:r>
          <w:rPr>
            <w:noProof/>
            <w:webHidden/>
          </w:rPr>
        </w:r>
        <w:r>
          <w:rPr>
            <w:noProof/>
            <w:webHidden/>
          </w:rPr>
          <w:fldChar w:fldCharType="separate"/>
        </w:r>
        <w:r>
          <w:rPr>
            <w:noProof/>
            <w:webHidden/>
          </w:rPr>
          <w:t>37</w:t>
        </w:r>
        <w:r>
          <w:rPr>
            <w:noProof/>
            <w:webHidden/>
          </w:rPr>
          <w:fldChar w:fldCharType="end"/>
        </w:r>
      </w:hyperlink>
    </w:p>
    <w:p w14:paraId="1167D508" w14:textId="61C264F1" w:rsidR="003F16B0" w:rsidRDefault="003F16B0">
      <w:pPr>
        <w:pStyle w:val="TOC1"/>
        <w:rPr>
          <w:rFonts w:eastAsiaTheme="minorEastAsia"/>
          <w:noProof/>
          <w:color w:val="auto"/>
        </w:rPr>
      </w:pPr>
      <w:hyperlink w:anchor="_Toc64988326" w:history="1">
        <w:r w:rsidRPr="00471783">
          <w:rPr>
            <w:rStyle w:val="Hyperlink"/>
            <w:noProof/>
          </w:rPr>
          <w:t>Exhibit 56. Percentage of students in New Hampshire who seriously considered attempting suicide during the past 12 months: Race/Ethnicity</w:t>
        </w:r>
        <w:r>
          <w:rPr>
            <w:noProof/>
            <w:webHidden/>
          </w:rPr>
          <w:tab/>
        </w:r>
        <w:r>
          <w:rPr>
            <w:noProof/>
            <w:webHidden/>
          </w:rPr>
          <w:fldChar w:fldCharType="begin"/>
        </w:r>
        <w:r>
          <w:rPr>
            <w:noProof/>
            <w:webHidden/>
          </w:rPr>
          <w:instrText xml:space="preserve"> PAGEREF _Toc64988326 \h </w:instrText>
        </w:r>
        <w:r>
          <w:rPr>
            <w:noProof/>
            <w:webHidden/>
          </w:rPr>
        </w:r>
        <w:r>
          <w:rPr>
            <w:noProof/>
            <w:webHidden/>
          </w:rPr>
          <w:fldChar w:fldCharType="separate"/>
        </w:r>
        <w:r>
          <w:rPr>
            <w:noProof/>
            <w:webHidden/>
          </w:rPr>
          <w:t>37</w:t>
        </w:r>
        <w:r>
          <w:rPr>
            <w:noProof/>
            <w:webHidden/>
          </w:rPr>
          <w:fldChar w:fldCharType="end"/>
        </w:r>
      </w:hyperlink>
    </w:p>
    <w:p w14:paraId="5764492E" w14:textId="051107D5" w:rsidR="003F16B0" w:rsidRDefault="003F16B0">
      <w:pPr>
        <w:pStyle w:val="TOC1"/>
        <w:rPr>
          <w:rFonts w:eastAsiaTheme="minorEastAsia"/>
          <w:noProof/>
          <w:color w:val="auto"/>
        </w:rPr>
      </w:pPr>
      <w:hyperlink w:anchor="_Toc64988327" w:history="1">
        <w:r w:rsidRPr="00471783">
          <w:rPr>
            <w:rStyle w:val="Hyperlink"/>
            <w:noProof/>
          </w:rPr>
          <w:t>Exhibit 57. Crude suicide death rates per 100,000, by age group: 2014-2018</w:t>
        </w:r>
        <w:r>
          <w:rPr>
            <w:noProof/>
            <w:webHidden/>
          </w:rPr>
          <w:tab/>
        </w:r>
        <w:r>
          <w:rPr>
            <w:noProof/>
            <w:webHidden/>
          </w:rPr>
          <w:fldChar w:fldCharType="begin"/>
        </w:r>
        <w:r>
          <w:rPr>
            <w:noProof/>
            <w:webHidden/>
          </w:rPr>
          <w:instrText xml:space="preserve"> PAGEREF _Toc64988327 \h </w:instrText>
        </w:r>
        <w:r>
          <w:rPr>
            <w:noProof/>
            <w:webHidden/>
          </w:rPr>
        </w:r>
        <w:r>
          <w:rPr>
            <w:noProof/>
            <w:webHidden/>
          </w:rPr>
          <w:fldChar w:fldCharType="separate"/>
        </w:r>
        <w:r>
          <w:rPr>
            <w:noProof/>
            <w:webHidden/>
          </w:rPr>
          <w:t>37</w:t>
        </w:r>
        <w:r>
          <w:rPr>
            <w:noProof/>
            <w:webHidden/>
          </w:rPr>
          <w:fldChar w:fldCharType="end"/>
        </w:r>
      </w:hyperlink>
    </w:p>
    <w:p w14:paraId="3D58492C" w14:textId="40F5A4A5" w:rsidR="003F16B0" w:rsidRDefault="003F16B0">
      <w:pPr>
        <w:pStyle w:val="TOC1"/>
        <w:rPr>
          <w:rFonts w:eastAsiaTheme="minorEastAsia"/>
          <w:noProof/>
          <w:color w:val="auto"/>
        </w:rPr>
      </w:pPr>
      <w:hyperlink w:anchor="_Toc64988328" w:history="1">
        <w:r w:rsidRPr="00471783">
          <w:rPr>
            <w:rStyle w:val="Hyperlink"/>
            <w:noProof/>
          </w:rPr>
          <w:t>Exhibit 58. Percentage of total arrests that are alcohol- or drug-related among  youth under 18</w:t>
        </w:r>
        <w:r>
          <w:rPr>
            <w:noProof/>
            <w:webHidden/>
          </w:rPr>
          <w:tab/>
        </w:r>
        <w:r>
          <w:rPr>
            <w:noProof/>
            <w:webHidden/>
          </w:rPr>
          <w:fldChar w:fldCharType="begin"/>
        </w:r>
        <w:r>
          <w:rPr>
            <w:noProof/>
            <w:webHidden/>
          </w:rPr>
          <w:instrText xml:space="preserve"> PAGEREF _Toc64988328 \h </w:instrText>
        </w:r>
        <w:r>
          <w:rPr>
            <w:noProof/>
            <w:webHidden/>
          </w:rPr>
        </w:r>
        <w:r>
          <w:rPr>
            <w:noProof/>
            <w:webHidden/>
          </w:rPr>
          <w:fldChar w:fldCharType="separate"/>
        </w:r>
        <w:r>
          <w:rPr>
            <w:noProof/>
            <w:webHidden/>
          </w:rPr>
          <w:t>38</w:t>
        </w:r>
        <w:r>
          <w:rPr>
            <w:noProof/>
            <w:webHidden/>
          </w:rPr>
          <w:fldChar w:fldCharType="end"/>
        </w:r>
      </w:hyperlink>
    </w:p>
    <w:p w14:paraId="7EFBE031" w14:textId="466A3D7C" w:rsidR="003F16B0" w:rsidRDefault="003F16B0">
      <w:pPr>
        <w:pStyle w:val="TOC1"/>
        <w:rPr>
          <w:rFonts w:eastAsiaTheme="minorEastAsia"/>
          <w:noProof/>
          <w:color w:val="auto"/>
        </w:rPr>
      </w:pPr>
      <w:hyperlink w:anchor="_Toc64988329" w:history="1">
        <w:r w:rsidRPr="00471783">
          <w:rPr>
            <w:rStyle w:val="Hyperlink"/>
            <w:noProof/>
          </w:rPr>
          <w:t>Exhibit 59. Opioi</w:t>
        </w:r>
        <w:r w:rsidRPr="00471783">
          <w:rPr>
            <w:rStyle w:val="Hyperlink"/>
            <w:noProof/>
          </w:rPr>
          <w:t>d</w:t>
        </w:r>
        <w:r w:rsidRPr="00471783">
          <w:rPr>
            <w:rStyle w:val="Hyperlink"/>
            <w:noProof/>
          </w:rPr>
          <w:t>-Related Deaths</w:t>
        </w:r>
        <w:r>
          <w:rPr>
            <w:noProof/>
            <w:webHidden/>
          </w:rPr>
          <w:tab/>
        </w:r>
        <w:r>
          <w:rPr>
            <w:noProof/>
            <w:webHidden/>
          </w:rPr>
          <w:fldChar w:fldCharType="begin"/>
        </w:r>
        <w:r>
          <w:rPr>
            <w:noProof/>
            <w:webHidden/>
          </w:rPr>
          <w:instrText xml:space="preserve"> PAGEREF _Toc64988329 \h </w:instrText>
        </w:r>
        <w:r>
          <w:rPr>
            <w:noProof/>
            <w:webHidden/>
          </w:rPr>
        </w:r>
        <w:r>
          <w:rPr>
            <w:noProof/>
            <w:webHidden/>
          </w:rPr>
          <w:fldChar w:fldCharType="separate"/>
        </w:r>
        <w:r>
          <w:rPr>
            <w:noProof/>
            <w:webHidden/>
          </w:rPr>
          <w:t>38</w:t>
        </w:r>
        <w:r>
          <w:rPr>
            <w:noProof/>
            <w:webHidden/>
          </w:rPr>
          <w:fldChar w:fldCharType="end"/>
        </w:r>
      </w:hyperlink>
    </w:p>
    <w:p w14:paraId="56247648" w14:textId="1FD4B562" w:rsidR="007E1C46" w:rsidRDefault="00B36E09">
      <w:pPr>
        <w:spacing w:line="259" w:lineRule="auto"/>
      </w:pPr>
      <w:r>
        <w:fldChar w:fldCharType="end"/>
      </w:r>
    </w:p>
    <w:p w14:paraId="63C05F5B" w14:textId="77777777" w:rsidR="007E1C46" w:rsidRDefault="007E1C46">
      <w:pPr>
        <w:spacing w:line="259" w:lineRule="auto"/>
      </w:pPr>
    </w:p>
    <w:p w14:paraId="414455BE" w14:textId="77777777" w:rsidR="007E1C46" w:rsidRDefault="007E1C46">
      <w:pPr>
        <w:spacing w:line="259" w:lineRule="auto"/>
        <w:sectPr w:rsidR="007E1C46" w:rsidSect="003F16B0">
          <w:type w:val="continuous"/>
          <w:pgSz w:w="12240" w:h="15840"/>
          <w:pgMar w:top="1170" w:right="1440" w:bottom="1260" w:left="1440" w:header="720" w:footer="720" w:gutter="0"/>
          <w:pgNumType w:start="0"/>
          <w:cols w:space="720"/>
          <w:docGrid w:linePitch="360"/>
        </w:sectPr>
      </w:pPr>
    </w:p>
    <w:p w14:paraId="489E57FA" w14:textId="66170A03" w:rsidR="0092526B" w:rsidRDefault="00CE094E" w:rsidP="007E1C46">
      <w:pPr>
        <w:pStyle w:val="Heading1"/>
        <w:spacing w:before="0" w:beforeAutospacing="0" w:after="100"/>
      </w:pPr>
      <w:bookmarkStart w:id="20" w:name="_Toc64988238"/>
      <w:r>
        <w:lastRenderedPageBreak/>
        <w:t>Introduction</w:t>
      </w:r>
      <w:bookmarkEnd w:id="20"/>
    </w:p>
    <w:p w14:paraId="7DA1DEB1" w14:textId="77777777" w:rsidR="00756172" w:rsidRDefault="003A2208" w:rsidP="00756172">
      <w:r w:rsidRPr="00ED3CE9">
        <w:t xml:space="preserve">The </w:t>
      </w:r>
      <w:r w:rsidRPr="00CC061E">
        <w:rPr>
          <w:i/>
        </w:rPr>
        <w:t xml:space="preserve">Creating Connections – </w:t>
      </w:r>
      <w:r>
        <w:rPr>
          <w:i/>
        </w:rPr>
        <w:t>NH</w:t>
      </w:r>
      <w:r>
        <w:t xml:space="preserve"> </w:t>
      </w:r>
      <w:r w:rsidR="00F64E3A">
        <w:t xml:space="preserve">(CC-NH) </w:t>
      </w:r>
      <w:r>
        <w:t xml:space="preserve">initiative is funded through a Cooperative Agreement between the </w:t>
      </w:r>
      <w:r w:rsidRPr="00ED3CE9">
        <w:t>N</w:t>
      </w:r>
      <w:r>
        <w:t xml:space="preserve">ew </w:t>
      </w:r>
      <w:r w:rsidRPr="00ED3CE9">
        <w:t>H</w:t>
      </w:r>
      <w:r>
        <w:t>ampshire</w:t>
      </w:r>
      <w:r w:rsidRPr="00ED3CE9">
        <w:t xml:space="preserve"> Department of Health and Human Services</w:t>
      </w:r>
      <w:r>
        <w:t xml:space="preserve"> (NH</w:t>
      </w:r>
      <w:r w:rsidR="0049324C">
        <w:t xml:space="preserve"> </w:t>
      </w:r>
      <w:r>
        <w:t xml:space="preserve">DHHS) and the Substance Abuse and Mental Health Services Administration (SAMHSA) through the </w:t>
      </w:r>
      <w:r w:rsidRPr="00C54F0A">
        <w:t>Adolescent and Transitional Aged Youth Treatment Implementation</w:t>
      </w:r>
      <w:r>
        <w:t xml:space="preserve"> (</w:t>
      </w:r>
      <w:r w:rsidR="009A03B9">
        <w:t>S</w:t>
      </w:r>
      <w:r>
        <w:t xml:space="preserve">YT-I) grant program. </w:t>
      </w:r>
      <w:r w:rsidRPr="00D606FD">
        <w:t xml:space="preserve">In accordance with the requirements of the grant, </w:t>
      </w:r>
      <w:r>
        <w:t xml:space="preserve">awarded in 2017, </w:t>
      </w:r>
      <w:r w:rsidR="00756172">
        <w:t xml:space="preserve">CC-NH seeks to strengthen statewide substance use disorder (SUD) treatment infrastructure and </w:t>
      </w:r>
      <w:r w:rsidR="008C705F">
        <w:t xml:space="preserve">to </w:t>
      </w:r>
      <w:r w:rsidR="00756172">
        <w:t>increas</w:t>
      </w:r>
      <w:r w:rsidR="008C705F">
        <w:t>e</w:t>
      </w:r>
      <w:r w:rsidR="00756172">
        <w:t xml:space="preserve"> access to </w:t>
      </w:r>
      <w:r w:rsidR="008C705F">
        <w:t xml:space="preserve">integrated </w:t>
      </w:r>
      <w:r w:rsidR="00756172">
        <w:t xml:space="preserve">evidence-based assessments, treatment models, and recovery services </w:t>
      </w:r>
      <w:r w:rsidR="008C705F">
        <w:t xml:space="preserve">and supports </w:t>
      </w:r>
      <w:r w:rsidR="00756172">
        <w:t xml:space="preserve">to youth ages 12-25 </w:t>
      </w:r>
      <w:r w:rsidR="00756172" w:rsidRPr="00D606FD">
        <w:t xml:space="preserve">with </w:t>
      </w:r>
      <w:r w:rsidR="00756172">
        <w:t xml:space="preserve">SUD </w:t>
      </w:r>
      <w:r w:rsidR="00756172" w:rsidRPr="00D606FD">
        <w:t xml:space="preserve">and/or co-occurring </w:t>
      </w:r>
      <w:r w:rsidR="008C705F">
        <w:t>SUD</w:t>
      </w:r>
      <w:r w:rsidR="00756172" w:rsidRPr="00D606FD">
        <w:t xml:space="preserve"> and mental health disorders (SUD/COD) </w:t>
      </w:r>
      <w:r w:rsidR="00756172">
        <w:t xml:space="preserve">and their families </w:t>
      </w:r>
      <w:r w:rsidR="00756172" w:rsidRPr="00D606FD">
        <w:t>throughout the state</w:t>
      </w:r>
      <w:r w:rsidR="00756172">
        <w:t>. The Department’s specific population of focus is youth of color and lesbian, gay, bisexual, and transgender (LGBT) youth.</w:t>
      </w:r>
    </w:p>
    <w:p w14:paraId="45E93A71" w14:textId="77777777" w:rsidR="00756172" w:rsidRDefault="00756172" w:rsidP="00756172">
      <w:r>
        <w:t>Evidence-based practices implemented include:</w:t>
      </w:r>
    </w:p>
    <w:p w14:paraId="1F73CA8F" w14:textId="77777777" w:rsidR="00756172" w:rsidRDefault="00756172" w:rsidP="00756172">
      <w:pPr>
        <w:pStyle w:val="ListParagraph"/>
        <w:numPr>
          <w:ilvl w:val="0"/>
          <w:numId w:val="13"/>
        </w:numPr>
      </w:pPr>
      <w:r>
        <w:t>Child and Adolescent Needs and Strengths (CANS) Assessment or Adult Needs and Strengths Assessment (ANSA), depending on the client’s age</w:t>
      </w:r>
    </w:p>
    <w:p w14:paraId="382E8AB2" w14:textId="77777777" w:rsidR="00756172" w:rsidRPr="00C75F62" w:rsidRDefault="00756172" w:rsidP="00756172">
      <w:pPr>
        <w:pStyle w:val="ListParagraph"/>
        <w:numPr>
          <w:ilvl w:val="0"/>
          <w:numId w:val="13"/>
        </w:numPr>
        <w:rPr>
          <w:i/>
        </w:rPr>
      </w:pPr>
      <w:r w:rsidRPr="00C75F62">
        <w:rPr>
          <w:i/>
        </w:rPr>
        <w:t>The Seven Challenges</w:t>
      </w:r>
    </w:p>
    <w:p w14:paraId="6C8B91B9" w14:textId="77777777" w:rsidR="00756172" w:rsidRDefault="00756172" w:rsidP="00756172">
      <w:pPr>
        <w:pStyle w:val="ListParagraph"/>
        <w:numPr>
          <w:ilvl w:val="0"/>
          <w:numId w:val="13"/>
        </w:numPr>
      </w:pPr>
      <w:r>
        <w:t>Medication-assisted treatment (MAT)</w:t>
      </w:r>
    </w:p>
    <w:p w14:paraId="416255DA" w14:textId="0A2B3B7B" w:rsidR="005A57FE" w:rsidRPr="009F2B24" w:rsidRDefault="005A57FE" w:rsidP="005A57FE">
      <w:pPr>
        <w:rPr>
          <w:iCs/>
        </w:rPr>
      </w:pPr>
      <w:r w:rsidRPr="009F2B24">
        <w:rPr>
          <w:iCs/>
        </w:rPr>
        <w:t xml:space="preserve">Two pilot sites, Greater Nashua Mental Health and Granite Pathways, were awarded the </w:t>
      </w:r>
      <w:r w:rsidRPr="009F2B24">
        <w:t>SYT-I</w:t>
      </w:r>
      <w:r w:rsidRPr="009F2B24">
        <w:rPr>
          <w:iCs/>
        </w:rPr>
        <w:t xml:space="preserve"> Provider Site contract in 2019 and began implementing </w:t>
      </w:r>
      <w:r w:rsidRPr="009F2B24">
        <w:rPr>
          <w:i/>
        </w:rPr>
        <w:t>The Seven Challenges</w:t>
      </w:r>
      <w:r w:rsidRPr="009F2B24">
        <w:t xml:space="preserve"> on August 1, 2019.</w:t>
      </w:r>
      <w:r w:rsidRPr="009F2B24">
        <w:rPr>
          <w:iCs/>
        </w:rPr>
        <w:t xml:space="preserve"> Granite Pathways relinquish</w:t>
      </w:r>
      <w:r w:rsidR="00E20A86">
        <w:rPr>
          <w:iCs/>
        </w:rPr>
        <w:t>ed</w:t>
      </w:r>
      <w:r w:rsidRPr="009F2B24">
        <w:rPr>
          <w:iCs/>
        </w:rPr>
        <w:t xml:space="preserve"> the </w:t>
      </w:r>
      <w:r w:rsidRPr="009F2B24">
        <w:t>SYT-I</w:t>
      </w:r>
      <w:r w:rsidRPr="009F2B24">
        <w:rPr>
          <w:iCs/>
        </w:rPr>
        <w:t xml:space="preserve"> Provider Site contract</w:t>
      </w:r>
      <w:r w:rsidR="00E20A86">
        <w:rPr>
          <w:iCs/>
        </w:rPr>
        <w:t xml:space="preserve"> </w:t>
      </w:r>
      <w:r w:rsidR="00E20A86" w:rsidRPr="00E20A86">
        <w:rPr>
          <w:iCs/>
        </w:rPr>
        <w:t xml:space="preserve">on July 31, 2020 due to unexpected changes in </w:t>
      </w:r>
      <w:r w:rsidR="007807A0">
        <w:rPr>
          <w:iCs/>
        </w:rPr>
        <w:t xml:space="preserve">its </w:t>
      </w:r>
      <w:r w:rsidR="00E20A86" w:rsidRPr="00E20A86">
        <w:rPr>
          <w:iCs/>
        </w:rPr>
        <w:t>organizational and management structure and associated challenges in program implementation</w:t>
      </w:r>
      <w:r w:rsidRPr="009F2B24">
        <w:rPr>
          <w:iCs/>
        </w:rPr>
        <w:t>.</w:t>
      </w:r>
      <w:r w:rsidR="003706D2">
        <w:rPr>
          <w:iCs/>
        </w:rPr>
        <w:t xml:space="preserve"> </w:t>
      </w:r>
      <w:r w:rsidR="003706D2" w:rsidRPr="003706D2">
        <w:rPr>
          <w:iCs/>
        </w:rPr>
        <w:t xml:space="preserve">NH DHHS is in the process of </w:t>
      </w:r>
      <w:r w:rsidR="008C705F">
        <w:rPr>
          <w:iCs/>
        </w:rPr>
        <w:t>selecting</w:t>
      </w:r>
      <w:r w:rsidR="003706D2" w:rsidRPr="003706D2">
        <w:rPr>
          <w:iCs/>
        </w:rPr>
        <w:t xml:space="preserve"> replacement sites</w:t>
      </w:r>
      <w:r w:rsidR="003706D2">
        <w:rPr>
          <w:iCs/>
        </w:rPr>
        <w:t>.</w:t>
      </w:r>
    </w:p>
    <w:p w14:paraId="7484588B" w14:textId="2D766C5F" w:rsidR="00B1464D" w:rsidRDefault="00B1464D" w:rsidP="00B1464D">
      <w:r>
        <w:t>The CC-NH model of care for adolescents and transition</w:t>
      </w:r>
      <w:r w:rsidR="00A15128">
        <w:t>al</w:t>
      </w:r>
      <w:r>
        <w:t xml:space="preserve">-age youth with SUD or SUD/COD, implemented </w:t>
      </w:r>
      <w:r w:rsidR="005A57FE">
        <w:t xml:space="preserve">solely by Greater Nashua Mental Health </w:t>
      </w:r>
      <w:r w:rsidR="007807A0">
        <w:t>at the time of writing</w:t>
      </w:r>
      <w:r>
        <w:t>, is summarized in the flowchart</w:t>
      </w:r>
      <w:r w:rsidR="007807A0">
        <w:t xml:space="preserve"> on the following page</w:t>
      </w:r>
      <w:r>
        <w:t>.</w:t>
      </w:r>
    </w:p>
    <w:p w14:paraId="0D614179" w14:textId="33283880" w:rsidR="008F3C56" w:rsidRDefault="008F3C56" w:rsidP="008F3C56">
      <w:r>
        <w:t xml:space="preserve">The Human Services Research Institute (HSRI) has a contract with NH DHHS to evaluate the implementation of the </w:t>
      </w:r>
      <w:r w:rsidR="007807A0">
        <w:t>SYT-I</w:t>
      </w:r>
      <w:r>
        <w:t xml:space="preserve"> grant. The purpose of this annual report is to provide an update on the evaluation and summarize data collected during the grant period in order to inform NH DHHS and members of the Interagency Council (IAC) on the progress of the initiative as well as any barriers encountered</w:t>
      </w:r>
      <w:r w:rsidR="007807A0">
        <w:t xml:space="preserve"> by the initiative</w:t>
      </w:r>
      <w:r>
        <w:t>.</w:t>
      </w:r>
    </w:p>
    <w:p w14:paraId="67196FBC" w14:textId="77777777" w:rsidR="008F3C56" w:rsidRDefault="008F3C56" w:rsidP="008F3C56">
      <w:r>
        <w:t xml:space="preserve">This report summarizes the progress made during the period covering </w:t>
      </w:r>
      <w:r>
        <w:rPr>
          <w:b/>
        </w:rPr>
        <w:t>January</w:t>
      </w:r>
      <w:r w:rsidRPr="00513EDF">
        <w:rPr>
          <w:b/>
        </w:rPr>
        <w:t xml:space="preserve"> 1, 201</w:t>
      </w:r>
      <w:r>
        <w:rPr>
          <w:b/>
        </w:rPr>
        <w:t>9</w:t>
      </w:r>
      <w:r w:rsidRPr="00513EDF">
        <w:rPr>
          <w:b/>
        </w:rPr>
        <w:t xml:space="preserve"> through </w:t>
      </w:r>
      <w:r>
        <w:rPr>
          <w:b/>
        </w:rPr>
        <w:t>December 31</w:t>
      </w:r>
      <w:r w:rsidRPr="00513EDF">
        <w:rPr>
          <w:b/>
        </w:rPr>
        <w:t>, 2019</w:t>
      </w:r>
      <w:r>
        <w:t>.</w:t>
      </w:r>
    </w:p>
    <w:p w14:paraId="1445D039" w14:textId="77777777" w:rsidR="00875EB2" w:rsidRDefault="00875EB2" w:rsidP="008F3C56">
      <w:r>
        <w:rPr>
          <w:noProof/>
        </w:rPr>
        <w:lastRenderedPageBreak/>
        <w:drawing>
          <wp:inline distT="0" distB="0" distL="0" distR="0" wp14:anchorId="610F95CB" wp14:editId="36352ACF">
            <wp:extent cx="5909094" cy="3709601"/>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53" t="2610" r="1439"/>
                    <a:stretch/>
                  </pic:blipFill>
                  <pic:spPr bwMode="auto">
                    <a:xfrm>
                      <a:off x="0" y="0"/>
                      <a:ext cx="5964442" cy="3744347"/>
                    </a:xfrm>
                    <a:prstGeom prst="rect">
                      <a:avLst/>
                    </a:prstGeom>
                    <a:ln>
                      <a:noFill/>
                    </a:ln>
                    <a:extLst>
                      <a:ext uri="{53640926-AAD7-44D8-BBD7-CCE9431645EC}">
                        <a14:shadowObscured xmlns:a14="http://schemas.microsoft.com/office/drawing/2010/main"/>
                      </a:ext>
                    </a:extLst>
                  </pic:spPr>
                </pic:pic>
              </a:graphicData>
            </a:graphic>
          </wp:inline>
        </w:drawing>
      </w:r>
    </w:p>
    <w:p w14:paraId="568EA068" w14:textId="77777777" w:rsidR="00BE0FC8" w:rsidRDefault="00BE0FC8" w:rsidP="00E43419">
      <w:pPr>
        <w:pStyle w:val="Heading1"/>
        <w:pageBreakBefore/>
        <w:spacing w:before="100" w:after="80"/>
      </w:pPr>
      <w:bookmarkStart w:id="21" w:name="_Toc64988239"/>
      <w:r>
        <w:lastRenderedPageBreak/>
        <w:t>Evaluation Questions</w:t>
      </w:r>
      <w:bookmarkEnd w:id="21"/>
    </w:p>
    <w:p w14:paraId="38AC9C95" w14:textId="5B8AF342" w:rsidR="002159BF" w:rsidRDefault="006818B6" w:rsidP="00E43419">
      <w:pPr>
        <w:spacing w:after="80"/>
      </w:pPr>
      <w:r>
        <w:t>The</w:t>
      </w:r>
      <w:r w:rsidR="002159BF">
        <w:t xml:space="preserve"> evaluation </w:t>
      </w:r>
      <w:r>
        <w:t xml:space="preserve">of the implementation of the SYT-I grant </w:t>
      </w:r>
      <w:r w:rsidR="002159BF">
        <w:t>is framed by the following questions:</w:t>
      </w:r>
    </w:p>
    <w:p w14:paraId="50FFE20F" w14:textId="77777777" w:rsidR="002159BF" w:rsidRDefault="002159BF" w:rsidP="002159BF">
      <w:pPr>
        <w:pStyle w:val="ListParagraph"/>
        <w:numPr>
          <w:ilvl w:val="0"/>
          <w:numId w:val="19"/>
        </w:numPr>
      </w:pPr>
      <w:r>
        <w:t>To what extent are the goals and objectives of the strategic plan and associated workplans being met?</w:t>
      </w:r>
    </w:p>
    <w:p w14:paraId="039042CD" w14:textId="77777777" w:rsidR="002159BF" w:rsidRDefault="002159BF" w:rsidP="00E43419">
      <w:pPr>
        <w:pStyle w:val="ListParagraph"/>
        <w:numPr>
          <w:ilvl w:val="1"/>
          <w:numId w:val="19"/>
        </w:numPr>
        <w:spacing w:before="0" w:after="40"/>
      </w:pPr>
      <w:r>
        <w:t>Which action items are delayed and why?</w:t>
      </w:r>
    </w:p>
    <w:p w14:paraId="505F74C9" w14:textId="77777777" w:rsidR="002159BF" w:rsidRDefault="002159BF" w:rsidP="00E43419">
      <w:pPr>
        <w:pStyle w:val="ListParagraph"/>
        <w:numPr>
          <w:ilvl w:val="1"/>
          <w:numId w:val="19"/>
        </w:numPr>
        <w:spacing w:before="0" w:after="40"/>
      </w:pPr>
      <w:r>
        <w:t>What changes are made to the strategic plan and why?</w:t>
      </w:r>
    </w:p>
    <w:p w14:paraId="79101357" w14:textId="77777777" w:rsidR="002159BF" w:rsidRDefault="002159BF" w:rsidP="00E43419">
      <w:pPr>
        <w:pStyle w:val="ListParagraph"/>
        <w:numPr>
          <w:ilvl w:val="0"/>
          <w:numId w:val="19"/>
        </w:numPr>
        <w:spacing w:before="80"/>
      </w:pPr>
      <w:r>
        <w:t>What is the program’s impact on workforce development?</w:t>
      </w:r>
    </w:p>
    <w:p w14:paraId="78C2E604" w14:textId="77777777" w:rsidR="002159BF" w:rsidRDefault="002159BF" w:rsidP="00E43419">
      <w:pPr>
        <w:pStyle w:val="ListParagraph"/>
        <w:numPr>
          <w:ilvl w:val="1"/>
          <w:numId w:val="19"/>
        </w:numPr>
        <w:spacing w:before="0" w:after="40"/>
      </w:pPr>
      <w:r>
        <w:t>How many practitioners were trained in evidence-based programs and practices?</w:t>
      </w:r>
    </w:p>
    <w:p w14:paraId="67FF1991" w14:textId="77777777" w:rsidR="002159BF" w:rsidRDefault="002159BF" w:rsidP="00E43419">
      <w:pPr>
        <w:pStyle w:val="ListParagraph"/>
        <w:numPr>
          <w:ilvl w:val="1"/>
          <w:numId w:val="19"/>
        </w:numPr>
        <w:spacing w:before="0" w:after="40"/>
      </w:pPr>
      <w:r>
        <w:t>What was the level of satisfaction with workforce trainings?</w:t>
      </w:r>
    </w:p>
    <w:p w14:paraId="4084C217" w14:textId="77777777" w:rsidR="002159BF" w:rsidRDefault="002159BF" w:rsidP="00E43419">
      <w:pPr>
        <w:pStyle w:val="ListParagraph"/>
        <w:numPr>
          <w:ilvl w:val="1"/>
          <w:numId w:val="19"/>
        </w:numPr>
        <w:spacing w:before="0" w:after="40"/>
      </w:pPr>
      <w:r>
        <w:t>How many new practitioners were hired?</w:t>
      </w:r>
    </w:p>
    <w:p w14:paraId="4016D435" w14:textId="77777777" w:rsidR="002159BF" w:rsidRDefault="002159BF" w:rsidP="00E43419">
      <w:pPr>
        <w:pStyle w:val="ListParagraph"/>
        <w:numPr>
          <w:ilvl w:val="1"/>
          <w:numId w:val="19"/>
        </w:numPr>
        <w:spacing w:before="0" w:after="40"/>
      </w:pPr>
      <w:r>
        <w:t>How many existing practitioners obtained new certification/accreditation?</w:t>
      </w:r>
    </w:p>
    <w:p w14:paraId="46D7C5A7" w14:textId="77777777" w:rsidR="002159BF" w:rsidRDefault="002159BF" w:rsidP="002159BF">
      <w:pPr>
        <w:pStyle w:val="ListParagraph"/>
        <w:numPr>
          <w:ilvl w:val="0"/>
          <w:numId w:val="19"/>
        </w:numPr>
      </w:pPr>
      <w:r>
        <w:t>Are the structure and activities of the Interagency Council (IAC) in line with grant requirements and the strategic plan?</w:t>
      </w:r>
    </w:p>
    <w:p w14:paraId="5EC66DAF" w14:textId="77777777" w:rsidR="002159BF" w:rsidRDefault="002159BF" w:rsidP="00E43419">
      <w:pPr>
        <w:pStyle w:val="ListParagraph"/>
        <w:numPr>
          <w:ilvl w:val="1"/>
          <w:numId w:val="19"/>
        </w:numPr>
        <w:spacing w:before="0" w:after="40"/>
      </w:pPr>
      <w:r>
        <w:t>Which stakeholder groups are represented in the IAC?</w:t>
      </w:r>
    </w:p>
    <w:p w14:paraId="7D6AC07E" w14:textId="77777777" w:rsidR="002159BF" w:rsidRDefault="002159BF" w:rsidP="00E43419">
      <w:pPr>
        <w:pStyle w:val="ListParagraph"/>
        <w:numPr>
          <w:ilvl w:val="1"/>
          <w:numId w:val="19"/>
        </w:numPr>
        <w:spacing w:before="0" w:after="40"/>
      </w:pPr>
      <w:r>
        <w:t>What is the level of engagement of IAC members?</w:t>
      </w:r>
    </w:p>
    <w:p w14:paraId="03678D86" w14:textId="77777777" w:rsidR="002159BF" w:rsidRDefault="002159BF" w:rsidP="00E43419">
      <w:pPr>
        <w:pStyle w:val="ListParagraph"/>
        <w:numPr>
          <w:ilvl w:val="1"/>
          <w:numId w:val="19"/>
        </w:numPr>
        <w:spacing w:before="0" w:after="40"/>
      </w:pPr>
      <w:r>
        <w:t xml:space="preserve">How do members assess the effectiveness of the IAC?   </w:t>
      </w:r>
    </w:p>
    <w:p w14:paraId="36AD08F3" w14:textId="77777777" w:rsidR="002159BF" w:rsidRDefault="002159BF" w:rsidP="002159BF">
      <w:pPr>
        <w:pStyle w:val="ListParagraph"/>
        <w:numPr>
          <w:ilvl w:val="0"/>
          <w:numId w:val="19"/>
        </w:numPr>
      </w:pPr>
      <w:r>
        <w:t>What are the program’s outputs?</w:t>
      </w:r>
    </w:p>
    <w:p w14:paraId="273D1FC1" w14:textId="77777777" w:rsidR="002159BF" w:rsidRDefault="002159BF" w:rsidP="00E43419">
      <w:pPr>
        <w:pStyle w:val="ListParagraph"/>
        <w:numPr>
          <w:ilvl w:val="1"/>
          <w:numId w:val="19"/>
        </w:numPr>
        <w:spacing w:before="0" w:after="40"/>
      </w:pPr>
      <w:r>
        <w:t>How many youth are served and what are their intake diagnoses and sociodemographic characteristics?</w:t>
      </w:r>
    </w:p>
    <w:p w14:paraId="6EF801E8" w14:textId="77777777" w:rsidR="002159BF" w:rsidRDefault="002159BF" w:rsidP="00E43419">
      <w:pPr>
        <w:pStyle w:val="ListParagraph"/>
        <w:numPr>
          <w:ilvl w:val="1"/>
          <w:numId w:val="19"/>
        </w:numPr>
        <w:spacing w:before="0" w:after="40"/>
      </w:pPr>
      <w:r>
        <w:t>What services are planned and provided to youth enrolled in the program?</w:t>
      </w:r>
    </w:p>
    <w:p w14:paraId="3B6E1678" w14:textId="77777777" w:rsidR="002159BF" w:rsidRDefault="002159BF" w:rsidP="00E43419">
      <w:pPr>
        <w:pStyle w:val="ListParagraph"/>
        <w:numPr>
          <w:ilvl w:val="1"/>
          <w:numId w:val="19"/>
        </w:numPr>
        <w:spacing w:before="0" w:after="40"/>
      </w:pPr>
      <w:r>
        <w:t>Are evidence-based assessments implemented consistently?</w:t>
      </w:r>
    </w:p>
    <w:p w14:paraId="0960D6BC" w14:textId="77777777" w:rsidR="002159BF" w:rsidRDefault="002159BF" w:rsidP="00E43419">
      <w:pPr>
        <w:pStyle w:val="ListParagraph"/>
        <w:numPr>
          <w:ilvl w:val="1"/>
          <w:numId w:val="19"/>
        </w:numPr>
        <w:spacing w:before="0" w:after="40"/>
      </w:pPr>
      <w:r>
        <w:t xml:space="preserve">Is </w:t>
      </w:r>
      <w:r w:rsidRPr="00E43419">
        <w:rPr>
          <w:i/>
          <w:iCs/>
        </w:rPr>
        <w:t>The Seven Challenges</w:t>
      </w:r>
      <w:r>
        <w:t xml:space="preserve"> implemented consistently and with fidelity?</w:t>
      </w:r>
    </w:p>
    <w:p w14:paraId="631A954E" w14:textId="77777777" w:rsidR="002159BF" w:rsidRDefault="001514B5" w:rsidP="002159BF">
      <w:pPr>
        <w:pStyle w:val="ListParagraph"/>
        <w:numPr>
          <w:ilvl w:val="0"/>
          <w:numId w:val="19"/>
        </w:numPr>
      </w:pPr>
      <w:r>
        <w:t>What is the impact of the program on participating youth as measured by differences between intake and follow-up survey responses?</w:t>
      </w:r>
    </w:p>
    <w:p w14:paraId="0DDEB538" w14:textId="77777777" w:rsidR="001514B5" w:rsidRDefault="001514B5" w:rsidP="00E43419">
      <w:pPr>
        <w:pStyle w:val="ListParagraph"/>
        <w:numPr>
          <w:ilvl w:val="1"/>
          <w:numId w:val="19"/>
        </w:numPr>
        <w:spacing w:before="0" w:after="40"/>
      </w:pPr>
      <w:r>
        <w:t>Are there improvements in assessment scores?</w:t>
      </w:r>
    </w:p>
    <w:p w14:paraId="33DADDB1" w14:textId="77777777" w:rsidR="001514B5" w:rsidRDefault="001514B5" w:rsidP="00E43419">
      <w:pPr>
        <w:pStyle w:val="ListParagraph"/>
        <w:numPr>
          <w:ilvl w:val="1"/>
          <w:numId w:val="19"/>
        </w:numPr>
        <w:spacing w:before="0" w:after="40"/>
      </w:pPr>
      <w:r>
        <w:t>Are there reductions in substance use and mental health disorder symptoms?</w:t>
      </w:r>
    </w:p>
    <w:p w14:paraId="6E77998D" w14:textId="77777777" w:rsidR="001514B5" w:rsidRDefault="001514B5" w:rsidP="00E43419">
      <w:pPr>
        <w:pStyle w:val="ListParagraph"/>
        <w:numPr>
          <w:ilvl w:val="1"/>
          <w:numId w:val="19"/>
        </w:numPr>
        <w:spacing w:before="0" w:after="40"/>
      </w:pPr>
      <w:r>
        <w:t>Are there improvements in social determinants of mental health, such as the quality housing, relationships, overall wellbeing?</w:t>
      </w:r>
    </w:p>
    <w:p w14:paraId="7D4AB6A5" w14:textId="77777777" w:rsidR="001514B5" w:rsidRDefault="001514B5" w:rsidP="00E43419">
      <w:pPr>
        <w:pStyle w:val="ListParagraph"/>
        <w:numPr>
          <w:ilvl w:val="1"/>
          <w:numId w:val="19"/>
        </w:numPr>
        <w:spacing w:before="0" w:after="40"/>
      </w:pPr>
      <w:r>
        <w:t>To what extent is the treatment plan implemented?</w:t>
      </w:r>
    </w:p>
    <w:p w14:paraId="364DE508" w14:textId="77777777" w:rsidR="002159BF" w:rsidRDefault="001514B5" w:rsidP="002159BF">
      <w:pPr>
        <w:pStyle w:val="ListParagraph"/>
        <w:numPr>
          <w:ilvl w:val="0"/>
          <w:numId w:val="19"/>
        </w:numPr>
      </w:pPr>
      <w:r>
        <w:t>What are the program-level factors associated with outcomes for youth (e.g., fidelity, staffing)?</w:t>
      </w:r>
    </w:p>
    <w:p w14:paraId="65583EF1" w14:textId="344377C0" w:rsidR="002159BF" w:rsidRDefault="001514B5" w:rsidP="002159BF">
      <w:pPr>
        <w:pStyle w:val="ListParagraph"/>
        <w:numPr>
          <w:ilvl w:val="0"/>
          <w:numId w:val="19"/>
        </w:numPr>
      </w:pPr>
      <w:r>
        <w:t>What are</w:t>
      </w:r>
      <w:r w:rsidR="002159BF">
        <w:t xml:space="preserve"> individual-level factors associated with outcomes (e.g.</w:t>
      </w:r>
      <w:r w:rsidR="006818B6">
        <w:t>,</w:t>
      </w:r>
      <w:r w:rsidR="002159BF">
        <w:t xml:space="preserve"> sociodemographic characteristics)</w:t>
      </w:r>
      <w:r>
        <w:t>?</w:t>
      </w:r>
    </w:p>
    <w:p w14:paraId="057397FE" w14:textId="77777777" w:rsidR="002159BF" w:rsidRDefault="001514B5" w:rsidP="00E43419">
      <w:pPr>
        <w:pStyle w:val="ListParagraph"/>
        <w:numPr>
          <w:ilvl w:val="0"/>
          <w:numId w:val="19"/>
        </w:numPr>
        <w:spacing w:after="20"/>
      </w:pPr>
      <w:r>
        <w:t xml:space="preserve">What are the state-level impacts of the </w:t>
      </w:r>
      <w:r w:rsidR="002159BF">
        <w:t xml:space="preserve">initiative, including on health disparities </w:t>
      </w:r>
      <w:r>
        <w:t>within</w:t>
      </w:r>
      <w:r w:rsidR="002159BF">
        <w:t xml:space="preserve"> the population of focus</w:t>
      </w:r>
      <w:r>
        <w:t>?</w:t>
      </w:r>
    </w:p>
    <w:p w14:paraId="3E9AA917" w14:textId="0F7CFD7E" w:rsidR="002159BF" w:rsidRDefault="00546071" w:rsidP="00E43419">
      <w:pPr>
        <w:spacing w:before="100" w:after="0"/>
      </w:pPr>
      <w:r>
        <w:t>E</w:t>
      </w:r>
      <w:r w:rsidR="0013212F">
        <w:t>ach</w:t>
      </w:r>
      <w:r w:rsidR="003E40D4">
        <w:t xml:space="preserve"> </w:t>
      </w:r>
      <w:r w:rsidR="0013212F">
        <w:t xml:space="preserve">evaluation </w:t>
      </w:r>
      <w:r w:rsidR="003E40D4">
        <w:t xml:space="preserve">report </w:t>
      </w:r>
      <w:r w:rsidR="0013212F">
        <w:t xml:space="preserve">addresses a subset of the above </w:t>
      </w:r>
      <w:r>
        <w:t>questions—</w:t>
      </w:r>
      <w:r w:rsidR="0013212F">
        <w:t>depending on data availability and the anticipated pace of change</w:t>
      </w:r>
      <w:r>
        <w:t>; however,</w:t>
      </w:r>
      <w:r w:rsidR="0013212F">
        <w:t xml:space="preserve"> all questions will be addressed by at least one report by the end of the grant period.</w:t>
      </w:r>
    </w:p>
    <w:p w14:paraId="4E55AB93" w14:textId="77777777" w:rsidR="00BE0FC8" w:rsidRDefault="00BE0FC8" w:rsidP="00BE0FC8">
      <w:pPr>
        <w:pStyle w:val="Heading1"/>
      </w:pPr>
      <w:bookmarkStart w:id="22" w:name="_Toc64988240"/>
      <w:r>
        <w:lastRenderedPageBreak/>
        <w:t>Data Sources</w:t>
      </w:r>
      <w:bookmarkEnd w:id="22"/>
    </w:p>
    <w:p w14:paraId="47A40689" w14:textId="77777777" w:rsidR="00BE0FC8" w:rsidRDefault="00BE0FC8" w:rsidP="00BE0FC8">
      <w:pPr>
        <w:pStyle w:val="Heading2"/>
      </w:pPr>
      <w:bookmarkStart w:id="23" w:name="_Toc64988241"/>
      <w:r>
        <w:t xml:space="preserve">Process </w:t>
      </w:r>
      <w:r w:rsidR="004850B5">
        <w:t>and Implementation</w:t>
      </w:r>
      <w:bookmarkEnd w:id="23"/>
    </w:p>
    <w:p w14:paraId="7A9B9154" w14:textId="7F4D089C" w:rsidR="00BE0FC8" w:rsidRDefault="004D0D91" w:rsidP="00BE0FC8">
      <w:r>
        <w:t xml:space="preserve">An activity tracker was created in 2018 to monitor and </w:t>
      </w:r>
      <w:r w:rsidR="00D85E80">
        <w:t>assess</w:t>
      </w:r>
      <w:r>
        <w:t xml:space="preserve"> the progress of activities related to CC-NH goals. The database contains information on </w:t>
      </w:r>
      <w:r w:rsidR="000C609C">
        <w:t>each</w:t>
      </w:r>
      <w:r>
        <w:t xml:space="preserve"> activity </w:t>
      </w:r>
      <w:r w:rsidR="000C609C">
        <w:t xml:space="preserve">including </w:t>
      </w:r>
      <w:r w:rsidR="00A15128">
        <w:t>the person or group</w:t>
      </w:r>
      <w:r>
        <w:t xml:space="preserve"> the activity was assigned to, the date it was introduced, the date it was completed, and the status of the activity (not started, underway, on time, completed, or delayed). </w:t>
      </w:r>
      <w:r w:rsidR="000C609C">
        <w:t>The database also provides a qualitative summary of the activities based on measures of interest that can be used to identify barriers to activity completion. The following information is summarized</w:t>
      </w:r>
      <w:r w:rsidR="00F343EB">
        <w:t xml:space="preserve"> in the activity tracker</w:t>
      </w:r>
      <w:r w:rsidR="000C609C">
        <w:t>:</w:t>
      </w:r>
    </w:p>
    <w:p w14:paraId="3D23425F" w14:textId="77777777" w:rsidR="000C609C" w:rsidRDefault="000C609C" w:rsidP="000C609C">
      <w:pPr>
        <w:pStyle w:val="ListParagraph"/>
        <w:numPr>
          <w:ilvl w:val="0"/>
          <w:numId w:val="4"/>
        </w:numPr>
      </w:pPr>
      <w:r>
        <w:t>Total number of activities and total number of activities by current status</w:t>
      </w:r>
    </w:p>
    <w:p w14:paraId="0CB5FDEC" w14:textId="77777777" w:rsidR="000C609C" w:rsidRDefault="000C609C" w:rsidP="000C609C">
      <w:pPr>
        <w:pStyle w:val="ListParagraph"/>
        <w:numPr>
          <w:ilvl w:val="0"/>
          <w:numId w:val="4"/>
        </w:numPr>
      </w:pPr>
      <w:r>
        <w:t>Percent of activities assigned to a person, percent that are clearly operationalized, and percent with a completion date</w:t>
      </w:r>
    </w:p>
    <w:p w14:paraId="3CDAFE2F" w14:textId="77777777" w:rsidR="000C609C" w:rsidRDefault="000C609C" w:rsidP="000C609C">
      <w:pPr>
        <w:pStyle w:val="ListParagraph"/>
        <w:numPr>
          <w:ilvl w:val="0"/>
          <w:numId w:val="4"/>
        </w:numPr>
      </w:pPr>
      <w:r>
        <w:t>Percent of activities that are completed, percent completed or on time, and percent delayed</w:t>
      </w:r>
    </w:p>
    <w:p w14:paraId="38561470" w14:textId="77777777" w:rsidR="004850B5" w:rsidRDefault="004850B5" w:rsidP="004850B5">
      <w:pPr>
        <w:pStyle w:val="Heading2"/>
      </w:pPr>
      <w:bookmarkStart w:id="24" w:name="_Toc64988242"/>
      <w:r>
        <w:t>Training Satisfaction</w:t>
      </w:r>
      <w:bookmarkEnd w:id="24"/>
    </w:p>
    <w:p w14:paraId="595ACB7A" w14:textId="77777777" w:rsidR="00335C55" w:rsidRDefault="00335C55" w:rsidP="00335C55">
      <w:r>
        <w:t xml:space="preserve">A training satisfaction survey was drafted </w:t>
      </w:r>
      <w:r w:rsidR="008849BE">
        <w:t>in 201</w:t>
      </w:r>
      <w:r w:rsidR="000C609C">
        <w:t>8</w:t>
      </w:r>
      <w:r w:rsidR="008849BE">
        <w:t xml:space="preserve"> </w:t>
      </w:r>
      <w:r>
        <w:t xml:space="preserve">and </w:t>
      </w:r>
      <w:r w:rsidR="008849BE">
        <w:t>has been</w:t>
      </w:r>
      <w:r>
        <w:t xml:space="preserve"> administered at all </w:t>
      </w:r>
      <w:r w:rsidR="008849BE">
        <w:t>CC-NH-</w:t>
      </w:r>
      <w:r>
        <w:t xml:space="preserve">related trainings. An accompanying database </w:t>
      </w:r>
      <w:r w:rsidR="008849BE">
        <w:t xml:space="preserve">was also </w:t>
      </w:r>
      <w:r>
        <w:t xml:space="preserve">created to house the collected data. The instrument was piloted by the IAC and revised based on the results of the pilot. Training satisfaction surveys provide the following information: </w:t>
      </w:r>
    </w:p>
    <w:p w14:paraId="0B3CE968" w14:textId="77777777" w:rsidR="00335C55" w:rsidRPr="00FE65F1" w:rsidRDefault="00335C55" w:rsidP="00335C55">
      <w:pPr>
        <w:pStyle w:val="ListParagraph"/>
        <w:numPr>
          <w:ilvl w:val="0"/>
          <w:numId w:val="4"/>
        </w:numPr>
        <w:rPr>
          <w:rFonts w:eastAsia="Calibri" w:cs="Times New Roman"/>
          <w:color w:val="262626"/>
        </w:rPr>
      </w:pPr>
      <w:r w:rsidRPr="00FE65F1">
        <w:rPr>
          <w:rFonts w:eastAsia="Calibri" w:cs="Times New Roman"/>
          <w:color w:val="262626"/>
        </w:rPr>
        <w:t>Total number of training and technical assistance events provided to workforce professionals (including peer support specialists)</w:t>
      </w:r>
    </w:p>
    <w:p w14:paraId="3AD2E557" w14:textId="77777777" w:rsidR="00335C55" w:rsidRPr="00FE65F1" w:rsidRDefault="00335C55" w:rsidP="00335C55">
      <w:pPr>
        <w:pStyle w:val="ListParagraph"/>
        <w:numPr>
          <w:ilvl w:val="0"/>
          <w:numId w:val="4"/>
        </w:numPr>
        <w:rPr>
          <w:rFonts w:eastAsia="Calibri" w:cs="Times New Roman"/>
          <w:color w:val="262626"/>
        </w:rPr>
      </w:pPr>
      <w:r w:rsidRPr="00FE65F1">
        <w:rPr>
          <w:rFonts w:eastAsia="Calibri" w:cs="Times New Roman"/>
          <w:color w:val="262626"/>
        </w:rPr>
        <w:t>Total number of workforce professionals trained, by practitioner category</w:t>
      </w:r>
      <w:r>
        <w:rPr>
          <w:rFonts w:eastAsia="Calibri" w:cs="Times New Roman"/>
          <w:color w:val="262626"/>
        </w:rPr>
        <w:t xml:space="preserve"> and topic</w:t>
      </w:r>
    </w:p>
    <w:p w14:paraId="47B51B0A" w14:textId="77777777" w:rsidR="00335C55" w:rsidRPr="00755744" w:rsidRDefault="00335C55" w:rsidP="00335C55">
      <w:pPr>
        <w:pStyle w:val="ListParagraph"/>
        <w:numPr>
          <w:ilvl w:val="0"/>
          <w:numId w:val="4"/>
        </w:numPr>
      </w:pPr>
      <w:r w:rsidRPr="00866EB4">
        <w:rPr>
          <w:rFonts w:eastAsia="Calibri" w:cs="Times New Roman"/>
          <w:color w:val="262626"/>
        </w:rPr>
        <w:t xml:space="preserve">Satisfaction </w:t>
      </w:r>
      <w:r>
        <w:rPr>
          <w:rFonts w:eastAsia="Calibri" w:cs="Times New Roman"/>
          <w:color w:val="262626"/>
        </w:rPr>
        <w:t>outcomes for</w:t>
      </w:r>
      <w:r w:rsidRPr="00866EB4">
        <w:rPr>
          <w:rFonts w:eastAsia="Calibri" w:cs="Times New Roman"/>
          <w:color w:val="262626"/>
        </w:rPr>
        <w:t xml:space="preserve"> training and technical assistance events</w:t>
      </w:r>
    </w:p>
    <w:p w14:paraId="09DB1FB5" w14:textId="77777777" w:rsidR="00335C55" w:rsidRDefault="00335C55" w:rsidP="00335C55">
      <w:pPr>
        <w:pStyle w:val="ListParagraph"/>
        <w:numPr>
          <w:ilvl w:val="0"/>
          <w:numId w:val="4"/>
        </w:numPr>
      </w:pPr>
      <w:r>
        <w:t>Issues and recommendations for improvement reported by the participants</w:t>
      </w:r>
    </w:p>
    <w:p w14:paraId="365C2AC3" w14:textId="77777777" w:rsidR="004850B5" w:rsidRDefault="004850B5" w:rsidP="004850B5">
      <w:pPr>
        <w:pStyle w:val="Heading2"/>
      </w:pPr>
      <w:bookmarkStart w:id="25" w:name="_Toc64988243"/>
      <w:r>
        <w:t>Client-Level</w:t>
      </w:r>
      <w:bookmarkEnd w:id="25"/>
      <w:r>
        <w:t xml:space="preserve"> </w:t>
      </w:r>
    </w:p>
    <w:p w14:paraId="08E143AD" w14:textId="77777777" w:rsidR="00335C55" w:rsidRDefault="00335C55" w:rsidP="00335C55">
      <w:r>
        <w:t xml:space="preserve">The </w:t>
      </w:r>
      <w:r w:rsidR="00DD3348">
        <w:t xml:space="preserve">SAMHSA/CSAT </w:t>
      </w:r>
      <w:r>
        <w:t xml:space="preserve">GPRA instrument </w:t>
      </w:r>
      <w:r w:rsidR="00723F79">
        <w:t>was</w:t>
      </w:r>
      <w:r>
        <w:t xml:space="preserve"> updated</w:t>
      </w:r>
      <w:r w:rsidR="00081FED">
        <w:t xml:space="preserve"> in 2019</w:t>
      </w:r>
      <w:r>
        <w:t xml:space="preserve"> based on feedback from </w:t>
      </w:r>
      <w:r w:rsidR="00DD3348">
        <w:t xml:space="preserve">NH DHHS, the </w:t>
      </w:r>
      <w:r>
        <w:t>IAC</w:t>
      </w:r>
      <w:r w:rsidR="00DD3348">
        <w:t>,</w:t>
      </w:r>
      <w:r>
        <w:t xml:space="preserve"> and the Workforce Development Workgroup</w:t>
      </w:r>
      <w:r w:rsidR="00DD3348">
        <w:t>.</w:t>
      </w:r>
      <w:r>
        <w:t xml:space="preserve"> </w:t>
      </w:r>
      <w:r w:rsidR="00DD3348" w:rsidRPr="00EC4A0D">
        <w:t>The two</w:t>
      </w:r>
      <w:r w:rsidR="00081FED">
        <w:t xml:space="preserve"> original</w:t>
      </w:r>
      <w:r w:rsidR="00DD3348" w:rsidRPr="00EC4A0D">
        <w:t xml:space="preserve"> provider sites were trained on data collection by the evaluation team </w:t>
      </w:r>
      <w:r w:rsidR="00DD3348">
        <w:t>in June</w:t>
      </w:r>
      <w:r w:rsidR="00081FED">
        <w:t xml:space="preserve"> 2019</w:t>
      </w:r>
      <w:r w:rsidR="00DD3348" w:rsidRPr="00EC4A0D">
        <w:t xml:space="preserve"> and </w:t>
      </w:r>
      <w:r w:rsidR="00DD3348">
        <w:t>began</w:t>
      </w:r>
      <w:r w:rsidR="00DD3348" w:rsidRPr="00EC4A0D">
        <w:t xml:space="preserve"> enrolling participants </w:t>
      </w:r>
      <w:r w:rsidR="00DD3348">
        <w:t>in August</w:t>
      </w:r>
      <w:r w:rsidR="00081FED">
        <w:t xml:space="preserve"> 2019</w:t>
      </w:r>
      <w:r w:rsidR="00DD3348" w:rsidRPr="00EC4A0D">
        <w:t xml:space="preserve">. A secure file-share system </w:t>
      </w:r>
      <w:r w:rsidR="00DD3348">
        <w:t>was</w:t>
      </w:r>
      <w:r w:rsidR="00DD3348" w:rsidRPr="00EC4A0D">
        <w:t xml:space="preserve"> set up and </w:t>
      </w:r>
      <w:r w:rsidR="00DD3348">
        <w:t>is</w:t>
      </w:r>
      <w:r w:rsidR="00DD3348" w:rsidRPr="00EC4A0D">
        <w:t xml:space="preserve"> used to transfer data from the provider sites to the evaluation team.</w:t>
      </w:r>
      <w:r w:rsidR="00DD3348">
        <w:t xml:space="preserve"> </w:t>
      </w:r>
      <w:r w:rsidR="00DD3348" w:rsidRPr="00EC4A0D">
        <w:t>The evaluation team upload</w:t>
      </w:r>
      <w:r w:rsidR="00DD3348">
        <w:t>s</w:t>
      </w:r>
      <w:r w:rsidR="00DD3348" w:rsidRPr="00EC4A0D">
        <w:t xml:space="preserve"> the </w:t>
      </w:r>
      <w:r w:rsidR="00D6611C">
        <w:t xml:space="preserve">GPRA </w:t>
      </w:r>
      <w:r w:rsidR="00DD3348" w:rsidRPr="00EC4A0D">
        <w:t xml:space="preserve">participant-level data to </w:t>
      </w:r>
      <w:r w:rsidR="005B5FE8">
        <w:t xml:space="preserve">SAMHSA’s </w:t>
      </w:r>
      <w:r w:rsidR="005B5FE8" w:rsidRPr="005B5FE8">
        <w:t>Performance Accountability and Reporting System</w:t>
      </w:r>
      <w:r w:rsidR="005B5FE8">
        <w:t xml:space="preserve"> (</w:t>
      </w:r>
      <w:r w:rsidR="00DD3348" w:rsidRPr="00EC4A0D">
        <w:t>SPARS</w:t>
      </w:r>
      <w:r w:rsidR="005B5FE8">
        <w:t>)</w:t>
      </w:r>
      <w:r w:rsidR="00DD3348" w:rsidRPr="00EC4A0D">
        <w:t xml:space="preserve"> as they are received</w:t>
      </w:r>
      <w:r w:rsidR="00D6611C">
        <w:t xml:space="preserve"> from the pilot sites</w:t>
      </w:r>
      <w:r w:rsidR="00DD3348" w:rsidRPr="00EC4A0D">
        <w:t xml:space="preserve">. </w:t>
      </w:r>
      <w:r w:rsidR="00D6611C">
        <w:t xml:space="preserve">Non-GPRA participant-level data (additional data collected on the instrument but not required by SAMHSA/CSAT) </w:t>
      </w:r>
      <w:r w:rsidR="0013212F">
        <w:t xml:space="preserve">are </w:t>
      </w:r>
      <w:r w:rsidR="00D6611C">
        <w:t xml:space="preserve">entered into an SPSS dataset template and then merged with the GPRA data. </w:t>
      </w:r>
      <w:r w:rsidR="00DD3348" w:rsidRPr="00EC4A0D">
        <w:t xml:space="preserve">Data on client characteristics </w:t>
      </w:r>
      <w:r w:rsidR="00DD3348">
        <w:t>is</w:t>
      </w:r>
      <w:r w:rsidR="00DD3348" w:rsidRPr="00EC4A0D">
        <w:t xml:space="preserve"> updated every </w:t>
      </w:r>
      <w:r w:rsidR="00DD3348">
        <w:t>month</w:t>
      </w:r>
      <w:r w:rsidR="00DD3348" w:rsidRPr="00EC4A0D">
        <w:t xml:space="preserve"> (or in </w:t>
      </w:r>
      <w:r w:rsidR="00DD3348" w:rsidRPr="00EC4A0D">
        <w:lastRenderedPageBreak/>
        <w:t>response to ad hoc queries)</w:t>
      </w:r>
      <w:r w:rsidR="00DD3348">
        <w:t xml:space="preserve"> to assist the pilot sites in meeting their reporting requirements. </w:t>
      </w:r>
      <w:r>
        <w:t>Th</w:t>
      </w:r>
      <w:r w:rsidR="00D6611C">
        <w:t>e SAMHSA/CSAT</w:t>
      </w:r>
      <w:r>
        <w:t xml:space="preserve"> instrument provide</w:t>
      </w:r>
      <w:r w:rsidR="00723F79">
        <w:t>s</w:t>
      </w:r>
      <w:r>
        <w:t xml:space="preserve"> the following information:</w:t>
      </w:r>
    </w:p>
    <w:p w14:paraId="44EDE63D" w14:textId="77777777" w:rsidR="00335C55" w:rsidRDefault="00335C55" w:rsidP="00335C55">
      <w:pPr>
        <w:pStyle w:val="ListParagraph"/>
        <w:numPr>
          <w:ilvl w:val="0"/>
          <w:numId w:val="5"/>
        </w:numPr>
      </w:pPr>
      <w:r>
        <w:t>Total number of clients served, by demographics, intervention, and level of care</w:t>
      </w:r>
    </w:p>
    <w:p w14:paraId="75A69A4F" w14:textId="77777777" w:rsidR="00335C55" w:rsidRDefault="00335C55" w:rsidP="00335C55">
      <w:pPr>
        <w:pStyle w:val="ListParagraph"/>
        <w:numPr>
          <w:ilvl w:val="0"/>
          <w:numId w:val="5"/>
        </w:numPr>
      </w:pPr>
      <w:r>
        <w:t>Type and level of services delivered</w:t>
      </w:r>
    </w:p>
    <w:p w14:paraId="137AB4F9" w14:textId="77777777" w:rsidR="00335C55" w:rsidRDefault="00335C55" w:rsidP="00335C55">
      <w:pPr>
        <w:pStyle w:val="ListParagraph"/>
        <w:numPr>
          <w:ilvl w:val="0"/>
          <w:numId w:val="5"/>
        </w:numPr>
      </w:pPr>
      <w:r>
        <w:t>Retention rates</w:t>
      </w:r>
    </w:p>
    <w:p w14:paraId="657D7A10" w14:textId="77777777" w:rsidR="00335C55" w:rsidRDefault="00335C55" w:rsidP="00335C55">
      <w:pPr>
        <w:pStyle w:val="ListParagraph"/>
        <w:numPr>
          <w:ilvl w:val="0"/>
          <w:numId w:val="5"/>
        </w:numPr>
      </w:pPr>
      <w:r>
        <w:t xml:space="preserve">Client-level change in knowledge, attitudes, behaviors, and community integration </w:t>
      </w:r>
      <w:r>
        <w:rPr>
          <w:rFonts w:eastAsia="Calibri" w:cs="Times New Roman"/>
          <w:color w:val="262626"/>
        </w:rPr>
        <w:t>between intake and 6-month follow-up (or discharge, whichever comes last)</w:t>
      </w:r>
    </w:p>
    <w:p w14:paraId="19C0AE34" w14:textId="77777777" w:rsidR="00335C55" w:rsidRPr="00755744" w:rsidRDefault="00335C55" w:rsidP="00E43419">
      <w:pPr>
        <w:pStyle w:val="ListParagraph"/>
        <w:numPr>
          <w:ilvl w:val="0"/>
          <w:numId w:val="5"/>
        </w:numPr>
        <w:spacing w:after="160"/>
      </w:pPr>
      <w:r>
        <w:rPr>
          <w:rFonts w:eastAsia="Calibri" w:cs="Times New Roman"/>
          <w:color w:val="262626"/>
        </w:rPr>
        <w:t>Sustainability of treatment effects</w:t>
      </w:r>
    </w:p>
    <w:p w14:paraId="0FE7B412" w14:textId="77777777" w:rsidR="00BE0FC8" w:rsidRDefault="00BE0FC8" w:rsidP="00E43419">
      <w:pPr>
        <w:pStyle w:val="Heading2"/>
      </w:pPr>
      <w:bookmarkStart w:id="26" w:name="_Toc64988244"/>
      <w:r>
        <w:t>Site-Level</w:t>
      </w:r>
      <w:bookmarkEnd w:id="26"/>
      <w:r>
        <w:t xml:space="preserve"> </w:t>
      </w:r>
    </w:p>
    <w:p w14:paraId="46F3CC56" w14:textId="77777777" w:rsidR="00666C81" w:rsidRPr="00E43419" w:rsidRDefault="00666C81" w:rsidP="00E43419">
      <w:pPr>
        <w:pStyle w:val="Heading3"/>
      </w:pPr>
      <w:bookmarkStart w:id="27" w:name="_Toc64988245"/>
      <w:r w:rsidRPr="00E43419">
        <w:t>Pilot Site Staff Roster</w:t>
      </w:r>
      <w:bookmarkEnd w:id="27"/>
    </w:p>
    <w:p w14:paraId="11F2E91E" w14:textId="77777777" w:rsidR="00723F79" w:rsidRDefault="00723F79" w:rsidP="00723F79">
      <w:r>
        <w:t xml:space="preserve">A staff roster template was finalized </w:t>
      </w:r>
      <w:r w:rsidR="00515C9D">
        <w:t>in 2019</w:t>
      </w:r>
      <w:r w:rsidR="00FB5A43">
        <w:t>,</w:t>
      </w:r>
      <w:r w:rsidR="00515C9D">
        <w:t xml:space="preserve"> </w:t>
      </w:r>
      <w:r w:rsidR="00FB5A43">
        <w:t xml:space="preserve">incorporating </w:t>
      </w:r>
      <w:r>
        <w:t>feedback from NH DHHS and the IAC. The roster collects information about all staff members associated with CC-NH in the pilot sites, including their training, certification/licensure, and the services they provide. The staff roster was administered to pilot sites in October</w:t>
      </w:r>
      <w:r w:rsidR="00515C9D">
        <w:t xml:space="preserve"> 2019</w:t>
      </w:r>
      <w:r>
        <w:t xml:space="preserve"> to collect baseline data on their staff. The evaluation team will repeat the data collection at the close of the grant period to assess workforce development efforts of the pilot sites.</w:t>
      </w:r>
    </w:p>
    <w:p w14:paraId="2EE5F0A0" w14:textId="77777777" w:rsidR="00666C81" w:rsidRDefault="00666C81" w:rsidP="00E43419">
      <w:pPr>
        <w:pStyle w:val="Heading3"/>
      </w:pPr>
      <w:bookmarkStart w:id="28" w:name="_Toc64988246"/>
      <w:r>
        <w:t>Pilot Site Interviews</w:t>
      </w:r>
      <w:bookmarkEnd w:id="28"/>
    </w:p>
    <w:p w14:paraId="464D03F7" w14:textId="77777777" w:rsidR="00FB5A43" w:rsidRDefault="00723F79" w:rsidP="00FB5A43">
      <w:r>
        <w:t xml:space="preserve">A pilot site interview guide was also finalized </w:t>
      </w:r>
      <w:r w:rsidR="009D73EA">
        <w:t xml:space="preserve">in 2019 </w:t>
      </w:r>
      <w:r>
        <w:t>following feedback from NH DHHS and the IAC. The interview guide framed semi-structured interviews with pilot sites to collect information on their structure and operations at baseline. Baseline interviews took place in October and December</w:t>
      </w:r>
      <w:r w:rsidR="009D73EA">
        <w:t xml:space="preserve"> of 2019</w:t>
      </w:r>
      <w:r>
        <w:t xml:space="preserve">. The interviews will be repeated at the end of the pilot sites’ implementation to assess system changes in the pilot sites. </w:t>
      </w:r>
    </w:p>
    <w:p w14:paraId="139DEC68" w14:textId="77777777" w:rsidR="004850B5" w:rsidRDefault="004850B5" w:rsidP="00E43419">
      <w:pPr>
        <w:pStyle w:val="Heading3"/>
      </w:pPr>
      <w:bookmarkStart w:id="29" w:name="_Toc64988247"/>
      <w:r>
        <w:t>State- and Sub-State-Level</w:t>
      </w:r>
      <w:bookmarkEnd w:id="29"/>
    </w:p>
    <w:p w14:paraId="2C8304CF" w14:textId="77777777" w:rsidR="00081FED" w:rsidRDefault="00081FED" w:rsidP="00081FED">
      <w:r>
        <w:t>Secondary data and archival data sources are used to examine the state</w:t>
      </w:r>
      <w:r w:rsidR="009D73EA">
        <w:t>- and sub-state</w:t>
      </w:r>
      <w:r>
        <w:t xml:space="preserve">-level impact of CC-NH by recording state-level trends for the target population. </w:t>
      </w:r>
      <w:r w:rsidR="00A91916">
        <w:t xml:space="preserve">The state-level measures are presented as time series. </w:t>
      </w:r>
      <w:r>
        <w:t xml:space="preserve">It is not expected that implementation will have a noticeable impact on state-level prevalence rates right away, but we do monitor local data sources for any changes. </w:t>
      </w:r>
      <w:r w:rsidR="00A91916">
        <w:t xml:space="preserve">Although such changes cannot be fully attributed to the CC-NH initiative, this time-series analysis will provide a useful context for evaluating the initiative. </w:t>
      </w:r>
      <w:r>
        <w:t xml:space="preserve">Data </w:t>
      </w:r>
      <w:r w:rsidR="00A91916">
        <w:t>are</w:t>
      </w:r>
      <w:r>
        <w:t xml:space="preserve"> collected</w:t>
      </w:r>
      <w:r w:rsidR="00A91916">
        <w:t xml:space="preserve"> annually</w:t>
      </w:r>
      <w:r>
        <w:t xml:space="preserve"> from the following data sources:</w:t>
      </w:r>
    </w:p>
    <w:p w14:paraId="395C476D" w14:textId="77777777" w:rsidR="00335C55" w:rsidRDefault="00335C55" w:rsidP="00335C55">
      <w:pPr>
        <w:pStyle w:val="ListParagraph"/>
        <w:numPr>
          <w:ilvl w:val="0"/>
          <w:numId w:val="6"/>
        </w:numPr>
      </w:pPr>
      <w:r>
        <w:t xml:space="preserve">The </w:t>
      </w:r>
      <w:r w:rsidRPr="00F9739D">
        <w:t>New Hampshire Office of the Chief Medical Examiner</w:t>
      </w:r>
    </w:p>
    <w:p w14:paraId="242CEC5A" w14:textId="77777777" w:rsidR="00335C55" w:rsidRPr="00F9739D" w:rsidRDefault="00335C55" w:rsidP="00335C55">
      <w:pPr>
        <w:pStyle w:val="ListParagraph"/>
        <w:numPr>
          <w:ilvl w:val="0"/>
          <w:numId w:val="6"/>
        </w:numPr>
      </w:pPr>
      <w:r>
        <w:t>The Federal Bureau of Investigation’s (FBI)</w:t>
      </w:r>
      <w:r w:rsidRPr="00F9739D">
        <w:t xml:space="preserve"> Uniform Crime Reporting Program</w:t>
      </w:r>
      <w:r>
        <w:t xml:space="preserve"> (UCR)</w:t>
      </w:r>
    </w:p>
    <w:p w14:paraId="6A7404AC" w14:textId="77777777" w:rsidR="00335C55" w:rsidRDefault="00335C55" w:rsidP="00335C55">
      <w:pPr>
        <w:pStyle w:val="ListParagraph"/>
        <w:numPr>
          <w:ilvl w:val="0"/>
          <w:numId w:val="6"/>
        </w:numPr>
      </w:pPr>
      <w:r>
        <w:t>The National Survey on Drug Use and Health (NSDUH)</w:t>
      </w:r>
    </w:p>
    <w:p w14:paraId="7FE41B5D" w14:textId="77777777" w:rsidR="00335C55" w:rsidRDefault="00335C55" w:rsidP="00335C55">
      <w:pPr>
        <w:pStyle w:val="ListParagraph"/>
        <w:numPr>
          <w:ilvl w:val="0"/>
          <w:numId w:val="6"/>
        </w:numPr>
      </w:pPr>
      <w:r>
        <w:t>The New Hampshire Youth Risk Behavior Survey (NH YRBS)</w:t>
      </w:r>
    </w:p>
    <w:p w14:paraId="6CFAB9AA" w14:textId="77777777" w:rsidR="00351C16" w:rsidRDefault="00351C16" w:rsidP="00351C16">
      <w:pPr>
        <w:pStyle w:val="ListParagraph"/>
        <w:numPr>
          <w:ilvl w:val="0"/>
          <w:numId w:val="6"/>
        </w:numPr>
      </w:pPr>
      <w:r>
        <w:t>U.S. Census Bureau</w:t>
      </w:r>
    </w:p>
    <w:p w14:paraId="69B1AAC3" w14:textId="77777777" w:rsidR="00351C16" w:rsidRDefault="00351C16" w:rsidP="00351C16">
      <w:pPr>
        <w:pStyle w:val="ListParagraph"/>
        <w:numPr>
          <w:ilvl w:val="0"/>
          <w:numId w:val="6"/>
        </w:numPr>
      </w:pPr>
      <w:r w:rsidRPr="00281135">
        <w:lastRenderedPageBreak/>
        <w:t>New Hampshire Dep</w:t>
      </w:r>
      <w:r>
        <w:t>artment</w:t>
      </w:r>
      <w:r w:rsidRPr="00281135">
        <w:t xml:space="preserve"> of Health &amp; Human Services</w:t>
      </w:r>
    </w:p>
    <w:p w14:paraId="5FF0EC5B" w14:textId="77777777" w:rsidR="00AA2BB4" w:rsidRDefault="00AA2BB4" w:rsidP="00AA2BB4">
      <w:pPr>
        <w:pStyle w:val="ListParagraph"/>
        <w:numPr>
          <w:ilvl w:val="0"/>
          <w:numId w:val="6"/>
        </w:numPr>
      </w:pPr>
      <w:r>
        <w:t>New Hampshire Department of Education</w:t>
      </w:r>
    </w:p>
    <w:p w14:paraId="38A84004" w14:textId="77777777" w:rsidR="00A91916" w:rsidRDefault="00351C16" w:rsidP="00E43419">
      <w:pPr>
        <w:pStyle w:val="ListParagraph"/>
        <w:numPr>
          <w:ilvl w:val="0"/>
          <w:numId w:val="6"/>
        </w:numPr>
        <w:spacing w:after="160"/>
      </w:pPr>
      <w:r>
        <w:t>Worldwide Refugee Admissions Processing Data System</w:t>
      </w:r>
    </w:p>
    <w:p w14:paraId="29ACB4F1" w14:textId="77777777" w:rsidR="00AA2BB4" w:rsidRPr="00F9739D" w:rsidRDefault="00AA2BB4" w:rsidP="00AA2BB4">
      <w:r w:rsidRPr="001D1DB4">
        <w:rPr>
          <w:rFonts w:eastAsia="Calibri" w:cs="Times New Roman"/>
          <w:color w:val="262626"/>
        </w:rPr>
        <w:t xml:space="preserve">Data from these sources are consolidated in a state-level database that are updated as </w:t>
      </w:r>
      <w:r w:rsidR="00FB5A43">
        <w:rPr>
          <w:rFonts w:eastAsia="Calibri" w:cs="Times New Roman"/>
          <w:color w:val="262626"/>
        </w:rPr>
        <w:t>new</w:t>
      </w:r>
      <w:r w:rsidR="00FB5A43" w:rsidRPr="001D1DB4">
        <w:rPr>
          <w:rFonts w:eastAsia="Calibri" w:cs="Times New Roman"/>
          <w:color w:val="262626"/>
        </w:rPr>
        <w:t xml:space="preserve"> </w:t>
      </w:r>
      <w:r w:rsidRPr="001D1DB4">
        <w:rPr>
          <w:rFonts w:eastAsia="Calibri" w:cs="Times New Roman"/>
          <w:color w:val="262626"/>
        </w:rPr>
        <w:t>data become available.</w:t>
      </w:r>
    </w:p>
    <w:p w14:paraId="61A65312" w14:textId="77777777" w:rsidR="003608AA" w:rsidRDefault="0092526B" w:rsidP="00E43419">
      <w:pPr>
        <w:pStyle w:val="Heading1"/>
        <w:pageBreakBefore/>
        <w:spacing w:before="0" w:beforeAutospacing="0" w:after="100"/>
      </w:pPr>
      <w:bookmarkStart w:id="30" w:name="_Toc64988248"/>
      <w:r>
        <w:lastRenderedPageBreak/>
        <w:t>Process</w:t>
      </w:r>
      <w:r w:rsidR="00CA2685">
        <w:t xml:space="preserve"> </w:t>
      </w:r>
      <w:r w:rsidR="00EA0865">
        <w:t>and Implementation Progress</w:t>
      </w:r>
      <w:bookmarkEnd w:id="30"/>
    </w:p>
    <w:p w14:paraId="44CDCB5B" w14:textId="77777777" w:rsidR="00FD4663" w:rsidRPr="000E295E" w:rsidRDefault="00FD4663" w:rsidP="008C4945">
      <w:pPr>
        <w:pStyle w:val="Heading2"/>
      </w:pPr>
      <w:bookmarkStart w:id="31" w:name="_Toc64988249"/>
      <w:r w:rsidRPr="000E295E">
        <w:t>Core Activities</w:t>
      </w:r>
      <w:bookmarkEnd w:id="31"/>
    </w:p>
    <w:p w14:paraId="25FF3887" w14:textId="77777777" w:rsidR="003A2208" w:rsidRPr="000E295E" w:rsidRDefault="003A2208" w:rsidP="003A2208">
      <w:r w:rsidRPr="000E295E">
        <w:t xml:space="preserve">The measures in this section </w:t>
      </w:r>
      <w:r w:rsidR="00FC172E">
        <w:t xml:space="preserve">are </w:t>
      </w:r>
      <w:r w:rsidRPr="000E295E">
        <w:t xml:space="preserve">used to </w:t>
      </w:r>
      <w:r w:rsidR="00DD42D7" w:rsidRPr="000E295E">
        <w:t xml:space="preserve">monitor </w:t>
      </w:r>
      <w:r w:rsidRPr="000E295E">
        <w:t xml:space="preserve">the initiative’s </w:t>
      </w:r>
      <w:r w:rsidR="00DD42D7" w:rsidRPr="000E295E">
        <w:t xml:space="preserve">core </w:t>
      </w:r>
      <w:r w:rsidRPr="000E295E">
        <w:t xml:space="preserve">activities </w:t>
      </w:r>
      <w:r w:rsidR="00DD42D7" w:rsidRPr="000E295E">
        <w:t>and assess the quality of the planning process</w:t>
      </w:r>
      <w:r w:rsidRPr="000E295E">
        <w:t>.</w:t>
      </w:r>
      <w:r w:rsidR="00AA0A6F" w:rsidRPr="000E295E">
        <w:t xml:space="preserve"> The exhibits </w:t>
      </w:r>
      <w:r w:rsidR="005E0F97" w:rsidRPr="000E295E">
        <w:t>provide a timeline of activity tracking</w:t>
      </w:r>
      <w:r w:rsidR="00AA0A6F" w:rsidRPr="000E295E">
        <w:t xml:space="preserve"> metrics. Exhibit 1 provides an overall summary of the core activities tracked </w:t>
      </w:r>
      <w:r w:rsidR="005E0F97" w:rsidRPr="000E295E">
        <w:t>from project start through the latest quarter</w:t>
      </w:r>
      <w:r w:rsidR="00AA0A6F" w:rsidRPr="000E295E">
        <w:t>.</w:t>
      </w:r>
    </w:p>
    <w:p w14:paraId="4B285E0C" w14:textId="77777777" w:rsidR="00DD42D7" w:rsidRPr="008F3C56" w:rsidRDefault="00DD42D7" w:rsidP="008F3C56">
      <w:pPr>
        <w:pStyle w:val="ExhibitTitle"/>
      </w:pPr>
      <w:bookmarkStart w:id="32" w:name="_Toc64988269"/>
      <w:r w:rsidRPr="008F3C56">
        <w:t>Exhibit 1</w:t>
      </w:r>
      <w:r w:rsidR="00AA0A6F" w:rsidRPr="008F3C56">
        <w:t xml:space="preserve">. </w:t>
      </w:r>
      <w:r w:rsidR="00C05400" w:rsidRPr="008F3C56">
        <w:t>Overview</w:t>
      </w:r>
      <w:r w:rsidR="00AA0A6F" w:rsidRPr="008F3C56">
        <w:t>: Activities tracked</w:t>
      </w:r>
      <w:bookmarkEnd w:id="32"/>
    </w:p>
    <w:tbl>
      <w:tblPr>
        <w:tblStyle w:val="PlainTable1"/>
        <w:tblW w:w="9265" w:type="dxa"/>
        <w:tblLook w:val="0600" w:firstRow="0" w:lastRow="0" w:firstColumn="0" w:lastColumn="0" w:noHBand="1" w:noVBand="1"/>
      </w:tblPr>
      <w:tblGrid>
        <w:gridCol w:w="2772"/>
        <w:gridCol w:w="1668"/>
        <w:gridCol w:w="1668"/>
        <w:gridCol w:w="1668"/>
        <w:gridCol w:w="1489"/>
      </w:tblGrid>
      <w:tr w:rsidR="00606B94" w:rsidRPr="00E43419" w14:paraId="529AABBC" w14:textId="77777777" w:rsidTr="00E43419">
        <w:trPr>
          <w:trHeight w:val="20"/>
        </w:trPr>
        <w:tc>
          <w:tcPr>
            <w:tcW w:w="2772" w:type="dxa"/>
            <w:shd w:val="clear" w:color="auto" w:fill="2D5D3B" w:themeFill="accent1" w:themeFillTint="E6"/>
            <w:vAlign w:val="center"/>
            <w:hideMark/>
          </w:tcPr>
          <w:p w14:paraId="66ACC561" w14:textId="77777777" w:rsidR="00606B94" w:rsidRPr="00E43419" w:rsidRDefault="00606B94" w:rsidP="00E43419">
            <w:pPr>
              <w:spacing w:before="20" w:after="20" w:line="240" w:lineRule="auto"/>
              <w:rPr>
                <w:rFonts w:asciiTheme="majorHAnsi" w:hAnsiTheme="majorHAnsi"/>
              </w:rPr>
            </w:pPr>
          </w:p>
        </w:tc>
        <w:tc>
          <w:tcPr>
            <w:tcW w:w="1668" w:type="dxa"/>
            <w:shd w:val="clear" w:color="auto" w:fill="2D5D3B" w:themeFill="accent1" w:themeFillTint="E6"/>
            <w:hideMark/>
          </w:tcPr>
          <w:p w14:paraId="0D1CFDF9" w14:textId="77777777" w:rsidR="00606B94" w:rsidRPr="00E43419" w:rsidRDefault="00606B94" w:rsidP="00E43419">
            <w:pPr>
              <w:spacing w:before="20" w:after="20" w:line="240" w:lineRule="auto"/>
              <w:jc w:val="center"/>
              <w:rPr>
                <w:rFonts w:asciiTheme="majorHAnsi" w:hAnsiTheme="majorHAnsi"/>
                <w:color w:val="FFFFFF" w:themeColor="background1"/>
              </w:rPr>
            </w:pPr>
            <w:r w:rsidRPr="00E43419">
              <w:rPr>
                <w:rFonts w:asciiTheme="majorHAnsi" w:hAnsiTheme="majorHAnsi"/>
                <w:color w:val="FFFFFF" w:themeColor="background1"/>
              </w:rPr>
              <w:t>As of 12/31/2019</w:t>
            </w:r>
          </w:p>
        </w:tc>
        <w:tc>
          <w:tcPr>
            <w:tcW w:w="1668" w:type="dxa"/>
            <w:shd w:val="clear" w:color="auto" w:fill="2D5D3B" w:themeFill="accent1" w:themeFillTint="E6"/>
            <w:hideMark/>
          </w:tcPr>
          <w:p w14:paraId="2C47E3DE" w14:textId="77777777" w:rsidR="00606B94" w:rsidRPr="00E43419" w:rsidRDefault="00606B94" w:rsidP="00E43419">
            <w:pPr>
              <w:spacing w:before="20" w:after="20" w:line="240" w:lineRule="auto"/>
              <w:jc w:val="center"/>
              <w:rPr>
                <w:rFonts w:asciiTheme="majorHAnsi" w:hAnsiTheme="majorHAnsi"/>
                <w:color w:val="FFFFFF" w:themeColor="background1"/>
              </w:rPr>
            </w:pPr>
            <w:r w:rsidRPr="00E43419">
              <w:rPr>
                <w:rFonts w:asciiTheme="majorHAnsi" w:hAnsiTheme="majorHAnsi"/>
                <w:color w:val="FFFFFF" w:themeColor="background1"/>
              </w:rPr>
              <w:t>As of 6/30/2020</w:t>
            </w:r>
          </w:p>
        </w:tc>
        <w:tc>
          <w:tcPr>
            <w:tcW w:w="1668" w:type="dxa"/>
            <w:shd w:val="clear" w:color="auto" w:fill="2D5D3B" w:themeFill="accent1" w:themeFillTint="E6"/>
          </w:tcPr>
          <w:p w14:paraId="5CFD8E25" w14:textId="77777777" w:rsidR="00606B94" w:rsidRPr="00E43419" w:rsidRDefault="00606B94" w:rsidP="00E43419">
            <w:pPr>
              <w:spacing w:before="20" w:after="20" w:line="240" w:lineRule="auto"/>
              <w:jc w:val="center"/>
              <w:rPr>
                <w:rFonts w:asciiTheme="majorHAnsi" w:hAnsiTheme="majorHAnsi"/>
                <w:color w:val="FFFFFF" w:themeColor="background1"/>
              </w:rPr>
            </w:pPr>
            <w:r w:rsidRPr="00E43419">
              <w:rPr>
                <w:rFonts w:asciiTheme="majorHAnsi" w:hAnsiTheme="majorHAnsi"/>
                <w:color w:val="FFFFFF" w:themeColor="background1"/>
              </w:rPr>
              <w:t>As of 9/30/2020</w:t>
            </w:r>
          </w:p>
        </w:tc>
        <w:tc>
          <w:tcPr>
            <w:tcW w:w="1489" w:type="dxa"/>
            <w:shd w:val="clear" w:color="auto" w:fill="2D5D3B" w:themeFill="accent1" w:themeFillTint="E6"/>
          </w:tcPr>
          <w:p w14:paraId="0642FAC3" w14:textId="77777777" w:rsidR="00606B94" w:rsidRPr="00E43419" w:rsidRDefault="00606B94" w:rsidP="00E43419">
            <w:pPr>
              <w:spacing w:before="20" w:after="20" w:line="240" w:lineRule="auto"/>
              <w:jc w:val="center"/>
              <w:rPr>
                <w:rFonts w:asciiTheme="majorHAnsi" w:hAnsiTheme="majorHAnsi"/>
                <w:color w:val="FFFFFF" w:themeColor="background1"/>
              </w:rPr>
            </w:pPr>
            <w:r w:rsidRPr="00E43419">
              <w:rPr>
                <w:rFonts w:asciiTheme="majorHAnsi" w:hAnsiTheme="majorHAnsi"/>
                <w:color w:val="FFFFFF" w:themeColor="background1"/>
              </w:rPr>
              <w:t>As of 12/31/2020</w:t>
            </w:r>
          </w:p>
        </w:tc>
      </w:tr>
      <w:tr w:rsidR="00606B94" w:rsidRPr="00E43419" w14:paraId="278C4801" w14:textId="77777777" w:rsidTr="00E43419">
        <w:trPr>
          <w:trHeight w:val="20"/>
        </w:trPr>
        <w:tc>
          <w:tcPr>
            <w:tcW w:w="2772" w:type="dxa"/>
            <w:vAlign w:val="center"/>
            <w:hideMark/>
          </w:tcPr>
          <w:p w14:paraId="12BB1B2C" w14:textId="77777777" w:rsidR="00606B94" w:rsidRPr="00E43419" w:rsidRDefault="00606B94" w:rsidP="00E43419">
            <w:pPr>
              <w:spacing w:before="20" w:after="20" w:line="240" w:lineRule="auto"/>
              <w:rPr>
                <w:rFonts w:asciiTheme="majorHAnsi" w:hAnsiTheme="majorHAnsi"/>
              </w:rPr>
            </w:pPr>
            <w:r w:rsidRPr="00E43419">
              <w:rPr>
                <w:rFonts w:asciiTheme="majorHAnsi" w:hAnsiTheme="majorHAnsi"/>
              </w:rPr>
              <w:t>Total number tracked</w:t>
            </w:r>
          </w:p>
        </w:tc>
        <w:tc>
          <w:tcPr>
            <w:tcW w:w="1668" w:type="dxa"/>
            <w:vAlign w:val="center"/>
            <w:hideMark/>
          </w:tcPr>
          <w:p w14:paraId="2F0E3297"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83</w:t>
            </w:r>
          </w:p>
        </w:tc>
        <w:tc>
          <w:tcPr>
            <w:tcW w:w="1668" w:type="dxa"/>
            <w:vAlign w:val="center"/>
            <w:hideMark/>
          </w:tcPr>
          <w:p w14:paraId="4EB788E5"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113</w:t>
            </w:r>
          </w:p>
        </w:tc>
        <w:tc>
          <w:tcPr>
            <w:tcW w:w="1668" w:type="dxa"/>
            <w:vAlign w:val="center"/>
          </w:tcPr>
          <w:p w14:paraId="720BA250"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119</w:t>
            </w:r>
          </w:p>
        </w:tc>
        <w:tc>
          <w:tcPr>
            <w:tcW w:w="1489" w:type="dxa"/>
            <w:vAlign w:val="center"/>
          </w:tcPr>
          <w:p w14:paraId="435ED132"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124</w:t>
            </w:r>
          </w:p>
        </w:tc>
      </w:tr>
      <w:tr w:rsidR="00606B94" w:rsidRPr="00E43419" w14:paraId="61599B85" w14:textId="77777777" w:rsidTr="00E43419">
        <w:trPr>
          <w:trHeight w:val="20"/>
        </w:trPr>
        <w:tc>
          <w:tcPr>
            <w:tcW w:w="2772" w:type="dxa"/>
            <w:vAlign w:val="center"/>
            <w:hideMark/>
          </w:tcPr>
          <w:p w14:paraId="4BB303DD" w14:textId="77777777" w:rsidR="00606B94" w:rsidRPr="00E43419" w:rsidRDefault="00606B94" w:rsidP="00E43419">
            <w:pPr>
              <w:spacing w:before="20" w:after="20" w:line="240" w:lineRule="auto"/>
              <w:rPr>
                <w:rFonts w:asciiTheme="majorHAnsi" w:hAnsiTheme="majorHAnsi"/>
              </w:rPr>
            </w:pPr>
            <w:r w:rsidRPr="00E43419">
              <w:rPr>
                <w:rFonts w:asciiTheme="majorHAnsi" w:hAnsiTheme="majorHAnsi"/>
              </w:rPr>
              <w:t>Number not yet started</w:t>
            </w:r>
          </w:p>
        </w:tc>
        <w:tc>
          <w:tcPr>
            <w:tcW w:w="1668" w:type="dxa"/>
            <w:vAlign w:val="center"/>
            <w:hideMark/>
          </w:tcPr>
          <w:p w14:paraId="2DA80349"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10</w:t>
            </w:r>
          </w:p>
        </w:tc>
        <w:tc>
          <w:tcPr>
            <w:tcW w:w="1668" w:type="dxa"/>
            <w:vAlign w:val="center"/>
            <w:hideMark/>
          </w:tcPr>
          <w:p w14:paraId="2192E4BC"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7</w:t>
            </w:r>
          </w:p>
        </w:tc>
        <w:tc>
          <w:tcPr>
            <w:tcW w:w="1668" w:type="dxa"/>
            <w:vAlign w:val="center"/>
          </w:tcPr>
          <w:p w14:paraId="1B5DB247"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4</w:t>
            </w:r>
          </w:p>
        </w:tc>
        <w:tc>
          <w:tcPr>
            <w:tcW w:w="1489" w:type="dxa"/>
            <w:vAlign w:val="center"/>
          </w:tcPr>
          <w:p w14:paraId="748D072F"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6</w:t>
            </w:r>
          </w:p>
        </w:tc>
      </w:tr>
      <w:tr w:rsidR="00606B94" w:rsidRPr="00E43419" w14:paraId="0EA232E7" w14:textId="77777777" w:rsidTr="00E43419">
        <w:trPr>
          <w:trHeight w:val="20"/>
        </w:trPr>
        <w:tc>
          <w:tcPr>
            <w:tcW w:w="2772" w:type="dxa"/>
            <w:vAlign w:val="center"/>
            <w:hideMark/>
          </w:tcPr>
          <w:p w14:paraId="45B02A7D" w14:textId="77777777" w:rsidR="00606B94" w:rsidRPr="00E43419" w:rsidRDefault="00606B94" w:rsidP="00E43419">
            <w:pPr>
              <w:spacing w:before="20" w:after="20" w:line="240" w:lineRule="auto"/>
              <w:rPr>
                <w:rFonts w:asciiTheme="majorHAnsi" w:hAnsiTheme="majorHAnsi"/>
              </w:rPr>
            </w:pPr>
            <w:r w:rsidRPr="00E43419">
              <w:rPr>
                <w:rFonts w:asciiTheme="majorHAnsi" w:hAnsiTheme="majorHAnsi"/>
              </w:rPr>
              <w:t>Number completed</w:t>
            </w:r>
          </w:p>
        </w:tc>
        <w:tc>
          <w:tcPr>
            <w:tcW w:w="1668" w:type="dxa"/>
            <w:vAlign w:val="center"/>
            <w:hideMark/>
          </w:tcPr>
          <w:p w14:paraId="125AC9D7"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54</w:t>
            </w:r>
          </w:p>
        </w:tc>
        <w:tc>
          <w:tcPr>
            <w:tcW w:w="1668" w:type="dxa"/>
            <w:vAlign w:val="center"/>
            <w:hideMark/>
          </w:tcPr>
          <w:p w14:paraId="3FFDFB12"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72</w:t>
            </w:r>
          </w:p>
        </w:tc>
        <w:tc>
          <w:tcPr>
            <w:tcW w:w="1668" w:type="dxa"/>
            <w:vAlign w:val="center"/>
          </w:tcPr>
          <w:p w14:paraId="0D95C3B3"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78</w:t>
            </w:r>
          </w:p>
        </w:tc>
        <w:tc>
          <w:tcPr>
            <w:tcW w:w="1489" w:type="dxa"/>
            <w:vAlign w:val="center"/>
          </w:tcPr>
          <w:p w14:paraId="45815B8E"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80</w:t>
            </w:r>
          </w:p>
        </w:tc>
      </w:tr>
      <w:tr w:rsidR="00606B94" w:rsidRPr="00E43419" w14:paraId="49E8B864" w14:textId="77777777" w:rsidTr="00E43419">
        <w:trPr>
          <w:trHeight w:val="20"/>
        </w:trPr>
        <w:tc>
          <w:tcPr>
            <w:tcW w:w="2772" w:type="dxa"/>
            <w:vAlign w:val="center"/>
            <w:hideMark/>
          </w:tcPr>
          <w:p w14:paraId="7F877300" w14:textId="77777777" w:rsidR="00606B94" w:rsidRPr="00E43419" w:rsidRDefault="00606B94" w:rsidP="00E43419">
            <w:pPr>
              <w:spacing w:before="20" w:after="20" w:line="240" w:lineRule="auto"/>
              <w:rPr>
                <w:rFonts w:asciiTheme="majorHAnsi" w:hAnsiTheme="majorHAnsi"/>
              </w:rPr>
            </w:pPr>
            <w:r w:rsidRPr="00E43419">
              <w:rPr>
                <w:rFonts w:asciiTheme="majorHAnsi" w:hAnsiTheme="majorHAnsi"/>
              </w:rPr>
              <w:t>Number delayed</w:t>
            </w:r>
          </w:p>
        </w:tc>
        <w:tc>
          <w:tcPr>
            <w:tcW w:w="1668" w:type="dxa"/>
            <w:vAlign w:val="center"/>
            <w:hideMark/>
          </w:tcPr>
          <w:p w14:paraId="0A53B1DA"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4</w:t>
            </w:r>
          </w:p>
        </w:tc>
        <w:tc>
          <w:tcPr>
            <w:tcW w:w="1668" w:type="dxa"/>
            <w:vAlign w:val="center"/>
            <w:hideMark/>
          </w:tcPr>
          <w:p w14:paraId="47DAAC92"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4</w:t>
            </w:r>
          </w:p>
        </w:tc>
        <w:tc>
          <w:tcPr>
            <w:tcW w:w="1668" w:type="dxa"/>
            <w:vAlign w:val="center"/>
          </w:tcPr>
          <w:p w14:paraId="2B1B359B"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2</w:t>
            </w:r>
          </w:p>
        </w:tc>
        <w:tc>
          <w:tcPr>
            <w:tcW w:w="1489" w:type="dxa"/>
            <w:vAlign w:val="center"/>
          </w:tcPr>
          <w:p w14:paraId="4DE4499C"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2</w:t>
            </w:r>
          </w:p>
        </w:tc>
      </w:tr>
      <w:tr w:rsidR="00606B94" w:rsidRPr="00E43419" w14:paraId="3C1C7DC5" w14:textId="77777777" w:rsidTr="00E43419">
        <w:trPr>
          <w:trHeight w:val="20"/>
        </w:trPr>
        <w:tc>
          <w:tcPr>
            <w:tcW w:w="2772" w:type="dxa"/>
            <w:vAlign w:val="center"/>
            <w:hideMark/>
          </w:tcPr>
          <w:p w14:paraId="7FF6C28B" w14:textId="77777777" w:rsidR="00606B94" w:rsidRPr="00E43419" w:rsidRDefault="00606B94" w:rsidP="00E43419">
            <w:pPr>
              <w:spacing w:before="20" w:after="20" w:line="240" w:lineRule="auto"/>
              <w:rPr>
                <w:rFonts w:asciiTheme="majorHAnsi" w:hAnsiTheme="majorHAnsi"/>
              </w:rPr>
            </w:pPr>
            <w:r w:rsidRPr="00E43419">
              <w:rPr>
                <w:rFonts w:asciiTheme="majorHAnsi" w:hAnsiTheme="majorHAnsi"/>
              </w:rPr>
              <w:t>Number ongoing &amp; on time</w:t>
            </w:r>
          </w:p>
        </w:tc>
        <w:tc>
          <w:tcPr>
            <w:tcW w:w="1668" w:type="dxa"/>
            <w:vAlign w:val="center"/>
            <w:hideMark/>
          </w:tcPr>
          <w:p w14:paraId="3892561E"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15</w:t>
            </w:r>
          </w:p>
        </w:tc>
        <w:tc>
          <w:tcPr>
            <w:tcW w:w="1668" w:type="dxa"/>
            <w:vAlign w:val="center"/>
            <w:hideMark/>
          </w:tcPr>
          <w:p w14:paraId="60FE8E0B"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26</w:t>
            </w:r>
          </w:p>
        </w:tc>
        <w:tc>
          <w:tcPr>
            <w:tcW w:w="1668" w:type="dxa"/>
            <w:vAlign w:val="center"/>
          </w:tcPr>
          <w:p w14:paraId="209C3156"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32</w:t>
            </w:r>
          </w:p>
        </w:tc>
        <w:tc>
          <w:tcPr>
            <w:tcW w:w="1489" w:type="dxa"/>
            <w:vAlign w:val="center"/>
          </w:tcPr>
          <w:p w14:paraId="231D74F4"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36</w:t>
            </w:r>
          </w:p>
        </w:tc>
      </w:tr>
    </w:tbl>
    <w:p w14:paraId="2C11D332" w14:textId="77777777" w:rsidR="00AA0A6F" w:rsidRPr="00835A46" w:rsidRDefault="00AA0A6F" w:rsidP="00AA0A6F">
      <w:pPr>
        <w:rPr>
          <w:highlight w:val="yellow"/>
          <w:lang w:eastAsia="ja-JP"/>
        </w:rPr>
      </w:pPr>
    </w:p>
    <w:p w14:paraId="42DFFCD5" w14:textId="77777777" w:rsidR="00DE0440" w:rsidRPr="00666C81" w:rsidRDefault="00F64E3A" w:rsidP="00666C81">
      <w:pPr>
        <w:rPr>
          <w:lang w:eastAsia="ja-JP"/>
        </w:rPr>
      </w:pPr>
      <w:r w:rsidRPr="000E295E">
        <w:rPr>
          <w:lang w:eastAsia="ja-JP"/>
        </w:rPr>
        <w:t>Exhibit 2 summarizes progress monitoring measures and shows that progress was made on all three</w:t>
      </w:r>
      <w:r w:rsidR="00C05400" w:rsidRPr="000E295E">
        <w:rPr>
          <w:lang w:eastAsia="ja-JP"/>
        </w:rPr>
        <w:t xml:space="preserve">: the two completion rates </w:t>
      </w:r>
      <w:r w:rsidR="005E0F97" w:rsidRPr="000E295E">
        <w:rPr>
          <w:lang w:eastAsia="ja-JP"/>
        </w:rPr>
        <w:t xml:space="preserve">steadily </w:t>
      </w:r>
      <w:r w:rsidR="00C05400" w:rsidRPr="000E295E">
        <w:rPr>
          <w:lang w:eastAsia="ja-JP"/>
        </w:rPr>
        <w:t xml:space="preserve">increased and the rate of delays decreased </w:t>
      </w:r>
      <w:r w:rsidR="005E0F97" w:rsidRPr="000E295E">
        <w:rPr>
          <w:lang w:eastAsia="ja-JP"/>
        </w:rPr>
        <w:t>throughout the tracking period</w:t>
      </w:r>
      <w:r w:rsidR="00C05400" w:rsidRPr="000E295E">
        <w:rPr>
          <w:lang w:eastAsia="ja-JP"/>
        </w:rPr>
        <w:t>.</w:t>
      </w:r>
      <w:r w:rsidRPr="000E295E">
        <w:rPr>
          <w:lang w:eastAsia="ja-JP"/>
        </w:rPr>
        <w:t xml:space="preserve"> Please note that these measures assign equal importance to all activities whereas some are more critical than others. Therefore, the numbers should be used for monitoring only and not for performance assessment.</w:t>
      </w:r>
      <w:r w:rsidR="008C4945">
        <w:rPr>
          <w:lang w:eastAsia="ja-JP"/>
        </w:rPr>
        <w:t xml:space="preserve"> The first measure (% completed) </w:t>
      </w:r>
      <w:r w:rsidR="00520654">
        <w:rPr>
          <w:lang w:eastAsia="ja-JP"/>
        </w:rPr>
        <w:t>slightly decreased since the end of 2019, primarily due to the introduction of new and currently ongoing activities associated with standing up the New Hampshire Alternative Peer Group Model</w:t>
      </w:r>
      <w:r w:rsidR="008C4945">
        <w:rPr>
          <w:lang w:eastAsia="ja-JP"/>
        </w:rPr>
        <w:t>. The second (% completed or on time) and third (% delayed) improved steadily through</w:t>
      </w:r>
      <w:r w:rsidR="00520654">
        <w:rPr>
          <w:lang w:eastAsia="ja-JP"/>
        </w:rPr>
        <w:t>out 2020</w:t>
      </w:r>
      <w:r w:rsidR="008C4945">
        <w:rPr>
          <w:lang w:eastAsia="ja-JP"/>
        </w:rPr>
        <w:t>.</w:t>
      </w:r>
      <w:r w:rsidR="004A5A30">
        <w:rPr>
          <w:lang w:eastAsia="ja-JP"/>
        </w:rPr>
        <w:t xml:space="preserve">  </w:t>
      </w:r>
    </w:p>
    <w:p w14:paraId="25F33ECA" w14:textId="77777777" w:rsidR="00F64E3A" w:rsidRPr="00BC6E34" w:rsidRDefault="00F64E3A" w:rsidP="008F3C56">
      <w:pPr>
        <w:pStyle w:val="ExhibitTitle"/>
      </w:pPr>
      <w:bookmarkStart w:id="33" w:name="_Toc64988270"/>
      <w:r w:rsidRPr="00BC6E34">
        <w:t>Exhibit 2. Activity monitoring measures</w:t>
      </w:r>
      <w:bookmarkEnd w:id="33"/>
    </w:p>
    <w:tbl>
      <w:tblPr>
        <w:tblStyle w:val="PlainTable1"/>
        <w:tblW w:w="9348" w:type="dxa"/>
        <w:tblLook w:val="0600" w:firstRow="0" w:lastRow="0" w:firstColumn="0" w:lastColumn="0" w:noHBand="1" w:noVBand="1"/>
      </w:tblPr>
      <w:tblGrid>
        <w:gridCol w:w="3795"/>
        <w:gridCol w:w="1448"/>
        <w:gridCol w:w="1338"/>
        <w:gridCol w:w="1319"/>
        <w:gridCol w:w="1448"/>
      </w:tblGrid>
      <w:tr w:rsidR="00606B94" w:rsidRPr="00E43419" w14:paraId="104D8AD1" w14:textId="77777777" w:rsidTr="00E43419">
        <w:trPr>
          <w:trHeight w:val="20"/>
        </w:trPr>
        <w:tc>
          <w:tcPr>
            <w:tcW w:w="4031" w:type="dxa"/>
            <w:shd w:val="clear" w:color="auto" w:fill="2D5D3B" w:themeFill="accent1" w:themeFillTint="E6"/>
            <w:vAlign w:val="center"/>
            <w:hideMark/>
          </w:tcPr>
          <w:p w14:paraId="7FBC82D4" w14:textId="77777777" w:rsidR="00606B94" w:rsidRPr="00E43419" w:rsidRDefault="00606B94" w:rsidP="00E43419">
            <w:pPr>
              <w:spacing w:before="20" w:after="20" w:line="240" w:lineRule="auto"/>
              <w:rPr>
                <w:rFonts w:asciiTheme="majorHAnsi" w:hAnsiTheme="majorHAnsi"/>
              </w:rPr>
            </w:pPr>
          </w:p>
        </w:tc>
        <w:tc>
          <w:tcPr>
            <w:tcW w:w="1392" w:type="dxa"/>
            <w:shd w:val="clear" w:color="auto" w:fill="2D5D3B" w:themeFill="accent1" w:themeFillTint="E6"/>
            <w:hideMark/>
          </w:tcPr>
          <w:p w14:paraId="7DF3E8BC" w14:textId="77777777" w:rsidR="00606B94" w:rsidRPr="00E43419" w:rsidRDefault="00606B94" w:rsidP="00E43419">
            <w:pPr>
              <w:spacing w:before="20" w:after="20" w:line="240" w:lineRule="auto"/>
              <w:jc w:val="center"/>
              <w:rPr>
                <w:rFonts w:asciiTheme="majorHAnsi" w:hAnsiTheme="majorHAnsi"/>
                <w:color w:val="FFFFFF" w:themeColor="background1"/>
              </w:rPr>
            </w:pPr>
            <w:r w:rsidRPr="00E43419">
              <w:rPr>
                <w:rFonts w:asciiTheme="majorHAnsi" w:hAnsiTheme="majorHAnsi"/>
                <w:color w:val="FFFFFF" w:themeColor="background1"/>
              </w:rPr>
              <w:t>As of 12/31/2019</w:t>
            </w:r>
          </w:p>
        </w:tc>
        <w:tc>
          <w:tcPr>
            <w:tcW w:w="1340" w:type="dxa"/>
            <w:shd w:val="clear" w:color="auto" w:fill="2D5D3B" w:themeFill="accent1" w:themeFillTint="E6"/>
            <w:hideMark/>
          </w:tcPr>
          <w:p w14:paraId="11347FE4" w14:textId="77777777" w:rsidR="00606B94" w:rsidRPr="00E43419" w:rsidRDefault="00606B94" w:rsidP="00E43419">
            <w:pPr>
              <w:spacing w:before="20" w:after="20" w:line="240" w:lineRule="auto"/>
              <w:jc w:val="center"/>
              <w:rPr>
                <w:rFonts w:asciiTheme="majorHAnsi" w:hAnsiTheme="majorHAnsi"/>
                <w:color w:val="FFFFFF" w:themeColor="background1"/>
              </w:rPr>
            </w:pPr>
            <w:r w:rsidRPr="00E43419">
              <w:rPr>
                <w:rFonts w:asciiTheme="majorHAnsi" w:hAnsiTheme="majorHAnsi"/>
                <w:color w:val="FFFFFF" w:themeColor="background1"/>
              </w:rPr>
              <w:t>As of 6/30/2020</w:t>
            </w:r>
          </w:p>
        </w:tc>
        <w:tc>
          <w:tcPr>
            <w:tcW w:w="1252" w:type="dxa"/>
            <w:shd w:val="clear" w:color="auto" w:fill="2D5D3B" w:themeFill="accent1" w:themeFillTint="E6"/>
          </w:tcPr>
          <w:p w14:paraId="261B1097" w14:textId="77777777" w:rsidR="00606B94" w:rsidRPr="00E43419" w:rsidRDefault="00606B94" w:rsidP="00E43419">
            <w:pPr>
              <w:spacing w:before="20" w:after="20" w:line="240" w:lineRule="auto"/>
              <w:jc w:val="center"/>
              <w:rPr>
                <w:rFonts w:asciiTheme="majorHAnsi" w:hAnsiTheme="majorHAnsi"/>
                <w:color w:val="FFFFFF" w:themeColor="background1"/>
              </w:rPr>
            </w:pPr>
            <w:r w:rsidRPr="00E43419">
              <w:rPr>
                <w:rFonts w:asciiTheme="majorHAnsi" w:hAnsiTheme="majorHAnsi"/>
                <w:color w:val="FFFFFF" w:themeColor="background1"/>
              </w:rPr>
              <w:t>As of 9/30/2020</w:t>
            </w:r>
          </w:p>
        </w:tc>
        <w:tc>
          <w:tcPr>
            <w:tcW w:w="1333" w:type="dxa"/>
            <w:shd w:val="clear" w:color="auto" w:fill="2D5D3B" w:themeFill="accent1" w:themeFillTint="E6"/>
          </w:tcPr>
          <w:p w14:paraId="7758449F" w14:textId="77777777" w:rsidR="00606B94" w:rsidRPr="00E43419" w:rsidRDefault="00606B94" w:rsidP="00E43419">
            <w:pPr>
              <w:spacing w:before="20" w:after="20" w:line="240" w:lineRule="auto"/>
              <w:jc w:val="center"/>
              <w:rPr>
                <w:rFonts w:asciiTheme="majorHAnsi" w:hAnsiTheme="majorHAnsi"/>
                <w:color w:val="FFFFFF" w:themeColor="background1"/>
              </w:rPr>
            </w:pPr>
            <w:r w:rsidRPr="00E43419">
              <w:rPr>
                <w:rFonts w:asciiTheme="majorHAnsi" w:hAnsiTheme="majorHAnsi"/>
                <w:color w:val="FFFFFF" w:themeColor="background1"/>
              </w:rPr>
              <w:t>As of 12/31/2020</w:t>
            </w:r>
          </w:p>
        </w:tc>
      </w:tr>
      <w:tr w:rsidR="00606B94" w:rsidRPr="00E43419" w14:paraId="4A1E4070" w14:textId="77777777" w:rsidTr="00E43419">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4031" w:type="dxa"/>
            <w:hideMark/>
          </w:tcPr>
          <w:p w14:paraId="09D31B91" w14:textId="77777777" w:rsidR="00606B94" w:rsidRPr="00E43419" w:rsidRDefault="00606B94" w:rsidP="00E43419">
            <w:pPr>
              <w:spacing w:before="20" w:after="20" w:line="240" w:lineRule="auto"/>
              <w:rPr>
                <w:rFonts w:asciiTheme="majorHAnsi" w:hAnsiTheme="majorHAnsi"/>
                <w:b w:val="0"/>
              </w:rPr>
            </w:pPr>
            <w:r w:rsidRPr="00E43419">
              <w:rPr>
                <w:rFonts w:asciiTheme="majorHAnsi" w:hAnsiTheme="majorHAnsi"/>
                <w:b w:val="0"/>
              </w:rPr>
              <w:t>% of started activities that are completed</w:t>
            </w:r>
          </w:p>
        </w:tc>
        <w:tc>
          <w:tcPr>
            <w:tcW w:w="1392" w:type="dxa"/>
            <w:vAlign w:val="center"/>
            <w:hideMark/>
          </w:tcPr>
          <w:p w14:paraId="02D54087" w14:textId="77777777" w:rsidR="00606B94" w:rsidRPr="00E43419" w:rsidRDefault="00606B94"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43419">
              <w:rPr>
                <w:rFonts w:asciiTheme="majorHAnsi" w:hAnsiTheme="majorHAnsi"/>
              </w:rPr>
              <w:t>74.0%</w:t>
            </w:r>
          </w:p>
        </w:tc>
        <w:tc>
          <w:tcPr>
            <w:tcW w:w="1340" w:type="dxa"/>
            <w:vAlign w:val="center"/>
            <w:hideMark/>
          </w:tcPr>
          <w:p w14:paraId="4A192D05" w14:textId="77777777" w:rsidR="00606B94" w:rsidRPr="00E43419" w:rsidRDefault="00606B94"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43419">
              <w:rPr>
                <w:rFonts w:asciiTheme="majorHAnsi" w:hAnsiTheme="majorHAnsi"/>
              </w:rPr>
              <w:t>67.9%</w:t>
            </w:r>
          </w:p>
        </w:tc>
        <w:tc>
          <w:tcPr>
            <w:tcW w:w="1252" w:type="dxa"/>
            <w:vAlign w:val="center"/>
          </w:tcPr>
          <w:p w14:paraId="42E0F894" w14:textId="77777777" w:rsidR="00606B94" w:rsidRPr="00E43419" w:rsidRDefault="00606B94"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43419">
              <w:rPr>
                <w:rFonts w:asciiTheme="majorHAnsi" w:hAnsiTheme="majorHAnsi"/>
              </w:rPr>
              <w:t>69.6%</w:t>
            </w:r>
          </w:p>
        </w:tc>
        <w:tc>
          <w:tcPr>
            <w:tcW w:w="1333" w:type="dxa"/>
            <w:vAlign w:val="center"/>
          </w:tcPr>
          <w:p w14:paraId="4BAD157D" w14:textId="77777777" w:rsidR="00606B94" w:rsidRPr="00E43419" w:rsidRDefault="00606B94"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43419">
              <w:rPr>
                <w:rFonts w:asciiTheme="majorHAnsi" w:hAnsiTheme="majorHAnsi"/>
              </w:rPr>
              <w:t>67.8%</w:t>
            </w:r>
          </w:p>
        </w:tc>
      </w:tr>
      <w:tr w:rsidR="00606B94" w:rsidRPr="00E43419" w14:paraId="07206981" w14:textId="77777777" w:rsidTr="00E43419">
        <w:trPr>
          <w:trHeight w:val="20"/>
        </w:trPr>
        <w:tc>
          <w:tcPr>
            <w:tcW w:w="4031" w:type="dxa"/>
            <w:vAlign w:val="center"/>
            <w:hideMark/>
          </w:tcPr>
          <w:p w14:paraId="059AF556" w14:textId="77777777" w:rsidR="00606B94" w:rsidRPr="00E43419" w:rsidRDefault="00606B94" w:rsidP="00E43419">
            <w:pPr>
              <w:spacing w:before="20" w:after="20" w:line="240" w:lineRule="auto"/>
              <w:rPr>
                <w:rFonts w:asciiTheme="majorHAnsi" w:hAnsiTheme="majorHAnsi"/>
              </w:rPr>
            </w:pPr>
            <w:r w:rsidRPr="00E43419">
              <w:rPr>
                <w:rFonts w:asciiTheme="majorHAnsi" w:hAnsiTheme="majorHAnsi"/>
              </w:rPr>
              <w:t>% of started activities that are either completed or on time (activities with known completion date only)</w:t>
            </w:r>
          </w:p>
        </w:tc>
        <w:tc>
          <w:tcPr>
            <w:tcW w:w="1392" w:type="dxa"/>
            <w:vAlign w:val="center"/>
            <w:hideMark/>
          </w:tcPr>
          <w:p w14:paraId="24C2A642"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94.3%</w:t>
            </w:r>
          </w:p>
        </w:tc>
        <w:tc>
          <w:tcPr>
            <w:tcW w:w="1340" w:type="dxa"/>
            <w:vAlign w:val="center"/>
            <w:hideMark/>
          </w:tcPr>
          <w:p w14:paraId="5A70E66D"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96.1%</w:t>
            </w:r>
          </w:p>
        </w:tc>
        <w:tc>
          <w:tcPr>
            <w:tcW w:w="1252" w:type="dxa"/>
            <w:vAlign w:val="center"/>
          </w:tcPr>
          <w:p w14:paraId="3844C322"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98.1%</w:t>
            </w:r>
          </w:p>
        </w:tc>
        <w:tc>
          <w:tcPr>
            <w:tcW w:w="1333" w:type="dxa"/>
            <w:vAlign w:val="center"/>
          </w:tcPr>
          <w:p w14:paraId="40FEB988"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98.3%</w:t>
            </w:r>
          </w:p>
        </w:tc>
      </w:tr>
      <w:tr w:rsidR="00606B94" w:rsidRPr="00E43419" w14:paraId="17D91EAE" w14:textId="77777777" w:rsidTr="00E43419">
        <w:trPr>
          <w:trHeight w:val="20"/>
        </w:trPr>
        <w:tc>
          <w:tcPr>
            <w:tcW w:w="4031" w:type="dxa"/>
            <w:vAlign w:val="center"/>
            <w:hideMark/>
          </w:tcPr>
          <w:p w14:paraId="017C3E34" w14:textId="77777777" w:rsidR="00606B94" w:rsidRPr="00E43419" w:rsidRDefault="00606B94" w:rsidP="00E43419">
            <w:pPr>
              <w:spacing w:before="20" w:after="20" w:line="240" w:lineRule="auto"/>
              <w:rPr>
                <w:rFonts w:asciiTheme="majorHAnsi" w:hAnsiTheme="majorHAnsi"/>
              </w:rPr>
            </w:pPr>
            <w:r w:rsidRPr="00E43419">
              <w:rPr>
                <w:rFonts w:asciiTheme="majorHAnsi" w:hAnsiTheme="majorHAnsi"/>
              </w:rPr>
              <w:t>% of started activities that are delayed (activities with known completion date only)</w:t>
            </w:r>
          </w:p>
        </w:tc>
        <w:tc>
          <w:tcPr>
            <w:tcW w:w="1392" w:type="dxa"/>
            <w:vAlign w:val="center"/>
            <w:hideMark/>
          </w:tcPr>
          <w:p w14:paraId="166AF72F"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5.7%</w:t>
            </w:r>
          </w:p>
        </w:tc>
        <w:tc>
          <w:tcPr>
            <w:tcW w:w="1340" w:type="dxa"/>
            <w:vAlign w:val="center"/>
            <w:hideMark/>
          </w:tcPr>
          <w:p w14:paraId="20997296"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3.9%</w:t>
            </w:r>
          </w:p>
        </w:tc>
        <w:tc>
          <w:tcPr>
            <w:tcW w:w="1252" w:type="dxa"/>
            <w:vAlign w:val="center"/>
          </w:tcPr>
          <w:p w14:paraId="39CD9F6D"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1.9%</w:t>
            </w:r>
          </w:p>
        </w:tc>
        <w:tc>
          <w:tcPr>
            <w:tcW w:w="1333" w:type="dxa"/>
            <w:vAlign w:val="center"/>
          </w:tcPr>
          <w:p w14:paraId="2069D9E6"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1.7%</w:t>
            </w:r>
          </w:p>
        </w:tc>
      </w:tr>
    </w:tbl>
    <w:p w14:paraId="7F7AAFAE" w14:textId="77777777" w:rsidR="00F64E3A" w:rsidRPr="000E295E" w:rsidRDefault="00F64E3A" w:rsidP="00F64E3A">
      <w:pPr>
        <w:rPr>
          <w:lang w:eastAsia="ja-JP"/>
        </w:rPr>
      </w:pPr>
    </w:p>
    <w:p w14:paraId="20B2A870" w14:textId="284AA839" w:rsidR="00C05400" w:rsidRDefault="00C05400" w:rsidP="00F64E3A">
      <w:pPr>
        <w:rPr>
          <w:lang w:eastAsia="ja-JP"/>
        </w:rPr>
      </w:pPr>
      <w:r w:rsidRPr="000E295E">
        <w:rPr>
          <w:lang w:eastAsia="ja-JP"/>
        </w:rPr>
        <w:t xml:space="preserve">Exhibit 3 shows the change in three measures of planning quality. The first two that measure clarity of operationalization and task assignment were already at a ceiling (maximum </w:t>
      </w:r>
      <w:r w:rsidRPr="000E295E">
        <w:rPr>
          <w:lang w:eastAsia="ja-JP"/>
        </w:rPr>
        <w:lastRenderedPageBreak/>
        <w:t>score=100%) with not much room for improvement. The third, measuring timeline specificity</w:t>
      </w:r>
      <w:r w:rsidR="002F11F7">
        <w:rPr>
          <w:lang w:eastAsia="ja-JP"/>
        </w:rPr>
        <w:t>,</w:t>
      </w:r>
      <w:r w:rsidRPr="000E295E">
        <w:rPr>
          <w:lang w:eastAsia="ja-JP"/>
        </w:rPr>
        <w:t xml:space="preserve"> increased </w:t>
      </w:r>
      <w:r w:rsidRPr="000C1B9B">
        <w:rPr>
          <w:lang w:eastAsia="ja-JP"/>
        </w:rPr>
        <w:t>from 8</w:t>
      </w:r>
      <w:r w:rsidR="00C977B4" w:rsidRPr="000C1B9B">
        <w:rPr>
          <w:lang w:eastAsia="ja-JP"/>
        </w:rPr>
        <w:t>8</w:t>
      </w:r>
      <w:r w:rsidR="005E0F97" w:rsidRPr="000C1B9B">
        <w:rPr>
          <w:lang w:eastAsia="ja-JP"/>
        </w:rPr>
        <w:t>.</w:t>
      </w:r>
      <w:r w:rsidR="00C977B4" w:rsidRPr="000C1B9B">
        <w:rPr>
          <w:lang w:eastAsia="ja-JP"/>
        </w:rPr>
        <w:t>0</w:t>
      </w:r>
      <w:r w:rsidRPr="000C1B9B">
        <w:rPr>
          <w:lang w:eastAsia="ja-JP"/>
        </w:rPr>
        <w:t>%</w:t>
      </w:r>
      <w:r w:rsidR="00520654">
        <w:rPr>
          <w:lang w:eastAsia="ja-JP"/>
        </w:rPr>
        <w:t xml:space="preserve"> at the end of 2019 to 96.8% by the end of 2020</w:t>
      </w:r>
      <w:r w:rsidRPr="000C1B9B">
        <w:rPr>
          <w:lang w:eastAsia="ja-JP"/>
        </w:rPr>
        <w:t>, a</w:t>
      </w:r>
      <w:r w:rsidR="00C977B4" w:rsidRPr="000C1B9B">
        <w:rPr>
          <w:lang w:eastAsia="ja-JP"/>
        </w:rPr>
        <w:t xml:space="preserve"> </w:t>
      </w:r>
      <w:r w:rsidR="00520654">
        <w:rPr>
          <w:lang w:eastAsia="ja-JP"/>
        </w:rPr>
        <w:t>12</w:t>
      </w:r>
      <w:r w:rsidR="002F11F7">
        <w:rPr>
          <w:lang w:eastAsia="ja-JP"/>
        </w:rPr>
        <w:t xml:space="preserve">% </w:t>
      </w:r>
      <w:r w:rsidRPr="000C1B9B">
        <w:rPr>
          <w:lang w:eastAsia="ja-JP"/>
        </w:rPr>
        <w:t>improvement</w:t>
      </w:r>
      <w:r w:rsidR="00F6742A" w:rsidRPr="000C1B9B">
        <w:rPr>
          <w:lang w:eastAsia="ja-JP"/>
        </w:rPr>
        <w:t>.</w:t>
      </w:r>
      <w:r w:rsidRPr="000E295E">
        <w:rPr>
          <w:lang w:eastAsia="ja-JP"/>
        </w:rPr>
        <w:t xml:space="preserve"> </w:t>
      </w:r>
    </w:p>
    <w:p w14:paraId="00F49ED8" w14:textId="77777777" w:rsidR="00C05400" w:rsidRPr="000E295E" w:rsidRDefault="00C05400" w:rsidP="008F3C56">
      <w:pPr>
        <w:pStyle w:val="ExhibitTitle"/>
      </w:pPr>
      <w:bookmarkStart w:id="34" w:name="_Toc64988271"/>
      <w:r w:rsidRPr="00BC6E34">
        <w:t>Exhibit 3. Planning assessment measures</w:t>
      </w:r>
      <w:bookmarkEnd w:id="34"/>
    </w:p>
    <w:tbl>
      <w:tblPr>
        <w:tblStyle w:val="PlainTable1"/>
        <w:tblW w:w="9346" w:type="dxa"/>
        <w:tblLook w:val="0600" w:firstRow="0" w:lastRow="0" w:firstColumn="0" w:lastColumn="0" w:noHBand="1" w:noVBand="1"/>
      </w:tblPr>
      <w:tblGrid>
        <w:gridCol w:w="3793"/>
        <w:gridCol w:w="1448"/>
        <w:gridCol w:w="1338"/>
        <w:gridCol w:w="1319"/>
        <w:gridCol w:w="1448"/>
      </w:tblGrid>
      <w:tr w:rsidR="00606B94" w:rsidRPr="00E43419" w14:paraId="325F365C" w14:textId="77777777" w:rsidTr="00E43419">
        <w:trPr>
          <w:trHeight w:val="20"/>
        </w:trPr>
        <w:tc>
          <w:tcPr>
            <w:tcW w:w="4004" w:type="dxa"/>
            <w:shd w:val="clear" w:color="auto" w:fill="2D5D3B" w:themeFill="accent1" w:themeFillTint="E6"/>
            <w:vAlign w:val="center"/>
            <w:hideMark/>
          </w:tcPr>
          <w:p w14:paraId="437E62E4" w14:textId="77777777" w:rsidR="00606B94" w:rsidRPr="00E43419" w:rsidRDefault="00606B94" w:rsidP="00E43419">
            <w:pPr>
              <w:keepNext/>
              <w:spacing w:before="20" w:after="20" w:line="240" w:lineRule="auto"/>
              <w:rPr>
                <w:rFonts w:asciiTheme="majorHAnsi" w:hAnsiTheme="majorHAnsi"/>
              </w:rPr>
            </w:pPr>
          </w:p>
        </w:tc>
        <w:tc>
          <w:tcPr>
            <w:tcW w:w="1392" w:type="dxa"/>
            <w:shd w:val="clear" w:color="auto" w:fill="2D5D3B" w:themeFill="accent1" w:themeFillTint="E6"/>
            <w:hideMark/>
          </w:tcPr>
          <w:p w14:paraId="62A494ED" w14:textId="77777777" w:rsidR="00606B94" w:rsidRPr="00E43419" w:rsidRDefault="00606B94" w:rsidP="00E43419">
            <w:pPr>
              <w:keepNext/>
              <w:spacing w:before="20" w:after="20" w:line="240" w:lineRule="auto"/>
              <w:jc w:val="center"/>
              <w:rPr>
                <w:rFonts w:asciiTheme="majorHAnsi" w:hAnsiTheme="majorHAnsi"/>
                <w:color w:val="FFFFFF" w:themeColor="background1"/>
              </w:rPr>
            </w:pPr>
            <w:r w:rsidRPr="00E43419">
              <w:rPr>
                <w:rFonts w:asciiTheme="majorHAnsi" w:hAnsiTheme="majorHAnsi"/>
                <w:color w:val="FFFFFF" w:themeColor="background1"/>
              </w:rPr>
              <w:t>As of 12/31/2019</w:t>
            </w:r>
          </w:p>
        </w:tc>
        <w:tc>
          <w:tcPr>
            <w:tcW w:w="1340" w:type="dxa"/>
            <w:shd w:val="clear" w:color="auto" w:fill="2D5D3B" w:themeFill="accent1" w:themeFillTint="E6"/>
            <w:hideMark/>
          </w:tcPr>
          <w:p w14:paraId="5EF23411" w14:textId="77777777" w:rsidR="00606B94" w:rsidRPr="00E43419" w:rsidRDefault="00606B94" w:rsidP="00E43419">
            <w:pPr>
              <w:keepNext/>
              <w:spacing w:before="20" w:after="20" w:line="240" w:lineRule="auto"/>
              <w:jc w:val="center"/>
              <w:rPr>
                <w:rFonts w:asciiTheme="majorHAnsi" w:hAnsiTheme="majorHAnsi"/>
                <w:color w:val="FFFFFF" w:themeColor="background1"/>
              </w:rPr>
            </w:pPr>
            <w:r w:rsidRPr="00E43419">
              <w:rPr>
                <w:rFonts w:asciiTheme="majorHAnsi" w:hAnsiTheme="majorHAnsi"/>
                <w:color w:val="FFFFFF" w:themeColor="background1"/>
              </w:rPr>
              <w:t>As of 6/30/2020</w:t>
            </w:r>
          </w:p>
        </w:tc>
        <w:tc>
          <w:tcPr>
            <w:tcW w:w="1277" w:type="dxa"/>
            <w:shd w:val="clear" w:color="auto" w:fill="2D5D3B" w:themeFill="accent1" w:themeFillTint="E6"/>
          </w:tcPr>
          <w:p w14:paraId="0CC46691" w14:textId="77777777" w:rsidR="00606B94" w:rsidRPr="00E43419" w:rsidRDefault="00606B94" w:rsidP="00E43419">
            <w:pPr>
              <w:keepNext/>
              <w:spacing w:before="20" w:after="20" w:line="240" w:lineRule="auto"/>
              <w:jc w:val="center"/>
              <w:rPr>
                <w:rFonts w:asciiTheme="majorHAnsi" w:hAnsiTheme="majorHAnsi"/>
                <w:color w:val="FFFFFF" w:themeColor="background1"/>
              </w:rPr>
            </w:pPr>
            <w:r w:rsidRPr="00E43419">
              <w:rPr>
                <w:rFonts w:asciiTheme="majorHAnsi" w:hAnsiTheme="majorHAnsi"/>
                <w:color w:val="FFFFFF" w:themeColor="background1"/>
              </w:rPr>
              <w:t>As of 9/30/2020</w:t>
            </w:r>
          </w:p>
        </w:tc>
        <w:tc>
          <w:tcPr>
            <w:tcW w:w="1333" w:type="dxa"/>
            <w:shd w:val="clear" w:color="auto" w:fill="2D5D3B" w:themeFill="accent1" w:themeFillTint="E6"/>
          </w:tcPr>
          <w:p w14:paraId="659F7BDA" w14:textId="77777777" w:rsidR="00606B94" w:rsidRPr="00E43419" w:rsidRDefault="00606B94" w:rsidP="00E43419">
            <w:pPr>
              <w:keepNext/>
              <w:spacing w:before="20" w:after="20" w:line="240" w:lineRule="auto"/>
              <w:jc w:val="center"/>
              <w:rPr>
                <w:rFonts w:asciiTheme="majorHAnsi" w:hAnsiTheme="majorHAnsi"/>
                <w:color w:val="FFFFFF" w:themeColor="background1"/>
              </w:rPr>
            </w:pPr>
            <w:r w:rsidRPr="00E43419">
              <w:rPr>
                <w:rFonts w:asciiTheme="majorHAnsi" w:hAnsiTheme="majorHAnsi"/>
                <w:color w:val="FFFFFF" w:themeColor="background1"/>
              </w:rPr>
              <w:t>As of 12/31/2020</w:t>
            </w:r>
          </w:p>
        </w:tc>
      </w:tr>
      <w:tr w:rsidR="00606B94" w:rsidRPr="00E43419" w14:paraId="0D96B1EB" w14:textId="77777777" w:rsidTr="00E43419">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4004" w:type="dxa"/>
            <w:hideMark/>
          </w:tcPr>
          <w:p w14:paraId="09B52AF0" w14:textId="77777777" w:rsidR="00606B94" w:rsidRPr="00E43419" w:rsidRDefault="00606B94" w:rsidP="00E43419">
            <w:pPr>
              <w:spacing w:before="20" w:after="20" w:line="240" w:lineRule="auto"/>
              <w:rPr>
                <w:rFonts w:asciiTheme="majorHAnsi" w:hAnsiTheme="majorHAnsi"/>
                <w:b w:val="0"/>
              </w:rPr>
            </w:pPr>
            <w:r w:rsidRPr="00E43419">
              <w:rPr>
                <w:rFonts w:asciiTheme="majorHAnsi" w:hAnsiTheme="majorHAnsi"/>
                <w:b w:val="0"/>
              </w:rPr>
              <w:t>% of activities assigned to a specific person or group</w:t>
            </w:r>
          </w:p>
        </w:tc>
        <w:tc>
          <w:tcPr>
            <w:tcW w:w="1392" w:type="dxa"/>
            <w:vAlign w:val="center"/>
          </w:tcPr>
          <w:p w14:paraId="063CDF8E" w14:textId="77777777" w:rsidR="00606B94" w:rsidRPr="00E43419" w:rsidRDefault="00606B94"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43419">
              <w:rPr>
                <w:rFonts w:asciiTheme="majorHAnsi" w:hAnsiTheme="majorHAnsi"/>
              </w:rPr>
              <w:t>98.8%</w:t>
            </w:r>
          </w:p>
        </w:tc>
        <w:tc>
          <w:tcPr>
            <w:tcW w:w="1340" w:type="dxa"/>
            <w:vAlign w:val="center"/>
          </w:tcPr>
          <w:p w14:paraId="6858FE0F" w14:textId="77777777" w:rsidR="00606B94" w:rsidRPr="00E43419" w:rsidRDefault="00606B94"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43419">
              <w:rPr>
                <w:rFonts w:asciiTheme="majorHAnsi" w:hAnsiTheme="majorHAnsi"/>
              </w:rPr>
              <w:t>99.1%</w:t>
            </w:r>
          </w:p>
        </w:tc>
        <w:tc>
          <w:tcPr>
            <w:tcW w:w="1277" w:type="dxa"/>
            <w:vAlign w:val="center"/>
          </w:tcPr>
          <w:p w14:paraId="39177D7C" w14:textId="77777777" w:rsidR="00606B94" w:rsidRPr="00E43419" w:rsidRDefault="00606B94"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43419">
              <w:rPr>
                <w:rFonts w:asciiTheme="majorHAnsi" w:hAnsiTheme="majorHAnsi"/>
              </w:rPr>
              <w:t>99.2%</w:t>
            </w:r>
          </w:p>
        </w:tc>
        <w:tc>
          <w:tcPr>
            <w:tcW w:w="1333" w:type="dxa"/>
            <w:vAlign w:val="center"/>
          </w:tcPr>
          <w:p w14:paraId="5535D76F" w14:textId="77777777" w:rsidR="00606B94" w:rsidRPr="00E43419" w:rsidRDefault="00606B94"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43419">
              <w:rPr>
                <w:rFonts w:asciiTheme="majorHAnsi" w:hAnsiTheme="majorHAnsi"/>
              </w:rPr>
              <w:t>99.2%</w:t>
            </w:r>
          </w:p>
        </w:tc>
      </w:tr>
      <w:tr w:rsidR="00606B94" w:rsidRPr="00E43419" w14:paraId="7F1BE28F" w14:textId="77777777" w:rsidTr="00E43419">
        <w:trPr>
          <w:trHeight w:val="20"/>
        </w:trPr>
        <w:tc>
          <w:tcPr>
            <w:tcW w:w="4004" w:type="dxa"/>
            <w:vAlign w:val="center"/>
            <w:hideMark/>
          </w:tcPr>
          <w:p w14:paraId="693429C2" w14:textId="77777777" w:rsidR="00606B94" w:rsidRPr="00E43419" w:rsidRDefault="00606B94" w:rsidP="00E43419">
            <w:pPr>
              <w:spacing w:before="20" w:after="20" w:line="240" w:lineRule="auto"/>
              <w:rPr>
                <w:rFonts w:asciiTheme="majorHAnsi" w:hAnsiTheme="majorHAnsi"/>
              </w:rPr>
            </w:pPr>
            <w:r w:rsidRPr="00E43419">
              <w:rPr>
                <w:rFonts w:asciiTheme="majorHAnsi" w:hAnsiTheme="majorHAnsi"/>
              </w:rPr>
              <w:t>% activities that are clearly operationalized</w:t>
            </w:r>
          </w:p>
        </w:tc>
        <w:tc>
          <w:tcPr>
            <w:tcW w:w="1392" w:type="dxa"/>
            <w:vAlign w:val="center"/>
          </w:tcPr>
          <w:p w14:paraId="1132E9D2"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98.8%</w:t>
            </w:r>
          </w:p>
        </w:tc>
        <w:tc>
          <w:tcPr>
            <w:tcW w:w="1340" w:type="dxa"/>
            <w:vAlign w:val="center"/>
          </w:tcPr>
          <w:p w14:paraId="6940D7CE"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99.1%</w:t>
            </w:r>
          </w:p>
        </w:tc>
        <w:tc>
          <w:tcPr>
            <w:tcW w:w="1277" w:type="dxa"/>
            <w:vAlign w:val="center"/>
          </w:tcPr>
          <w:p w14:paraId="77A3F4B7"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99.2%</w:t>
            </w:r>
          </w:p>
        </w:tc>
        <w:tc>
          <w:tcPr>
            <w:tcW w:w="1333" w:type="dxa"/>
            <w:vAlign w:val="center"/>
          </w:tcPr>
          <w:p w14:paraId="67F00C7C"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99.2%</w:t>
            </w:r>
          </w:p>
        </w:tc>
      </w:tr>
      <w:tr w:rsidR="00606B94" w:rsidRPr="00E43419" w14:paraId="748237E7" w14:textId="77777777" w:rsidTr="00E43419">
        <w:trPr>
          <w:trHeight w:val="20"/>
        </w:trPr>
        <w:tc>
          <w:tcPr>
            <w:tcW w:w="4004" w:type="dxa"/>
            <w:vAlign w:val="center"/>
            <w:hideMark/>
          </w:tcPr>
          <w:p w14:paraId="6BCF8F44" w14:textId="77777777" w:rsidR="00606B94" w:rsidRPr="00E43419" w:rsidRDefault="00606B94" w:rsidP="00E43419">
            <w:pPr>
              <w:spacing w:before="20" w:after="20" w:line="240" w:lineRule="auto"/>
              <w:rPr>
                <w:rFonts w:asciiTheme="majorHAnsi" w:hAnsiTheme="majorHAnsi"/>
              </w:rPr>
            </w:pPr>
            <w:r w:rsidRPr="00E43419">
              <w:rPr>
                <w:rFonts w:asciiTheme="majorHAnsi" w:hAnsiTheme="majorHAnsi"/>
              </w:rPr>
              <w:t>% activities with completion dates specified</w:t>
            </w:r>
          </w:p>
        </w:tc>
        <w:tc>
          <w:tcPr>
            <w:tcW w:w="1392" w:type="dxa"/>
            <w:vAlign w:val="center"/>
          </w:tcPr>
          <w:p w14:paraId="14B825B5"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88.0%</w:t>
            </w:r>
          </w:p>
        </w:tc>
        <w:tc>
          <w:tcPr>
            <w:tcW w:w="1340" w:type="dxa"/>
            <w:vAlign w:val="center"/>
          </w:tcPr>
          <w:p w14:paraId="778B49EC"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96.5%</w:t>
            </w:r>
          </w:p>
        </w:tc>
        <w:tc>
          <w:tcPr>
            <w:tcW w:w="1277" w:type="dxa"/>
            <w:vAlign w:val="center"/>
          </w:tcPr>
          <w:p w14:paraId="359FD347"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96.6%</w:t>
            </w:r>
          </w:p>
        </w:tc>
        <w:tc>
          <w:tcPr>
            <w:tcW w:w="1333" w:type="dxa"/>
            <w:vAlign w:val="center"/>
          </w:tcPr>
          <w:p w14:paraId="4F791E0A" w14:textId="77777777" w:rsidR="00606B94" w:rsidRPr="00E43419" w:rsidRDefault="00606B94" w:rsidP="00E43419">
            <w:pPr>
              <w:spacing w:before="20" w:after="20" w:line="240" w:lineRule="auto"/>
              <w:jc w:val="center"/>
              <w:rPr>
                <w:rFonts w:asciiTheme="majorHAnsi" w:hAnsiTheme="majorHAnsi"/>
              </w:rPr>
            </w:pPr>
            <w:r w:rsidRPr="00E43419">
              <w:rPr>
                <w:rFonts w:asciiTheme="majorHAnsi" w:hAnsiTheme="majorHAnsi"/>
              </w:rPr>
              <w:t>96.8%</w:t>
            </w:r>
          </w:p>
        </w:tc>
      </w:tr>
    </w:tbl>
    <w:p w14:paraId="42A783B1" w14:textId="77777777" w:rsidR="00F64E3A" w:rsidRPr="000E295E" w:rsidRDefault="00F64E3A" w:rsidP="00AA0A6F">
      <w:pPr>
        <w:rPr>
          <w:lang w:eastAsia="ja-JP"/>
        </w:rPr>
      </w:pPr>
    </w:p>
    <w:p w14:paraId="2F73F0FF" w14:textId="77777777" w:rsidR="003A2208" w:rsidRDefault="003A2208" w:rsidP="008C4945">
      <w:pPr>
        <w:pStyle w:val="Heading2"/>
      </w:pPr>
      <w:bookmarkStart w:id="35" w:name="_Toc64988250"/>
      <w:r>
        <w:t>Interagency Council</w:t>
      </w:r>
      <w:r w:rsidR="002558BF">
        <w:t xml:space="preserve"> and </w:t>
      </w:r>
      <w:r w:rsidR="002144F9">
        <w:t>Its Subcommittees</w:t>
      </w:r>
      <w:bookmarkEnd w:id="35"/>
    </w:p>
    <w:p w14:paraId="0DF13C5C" w14:textId="28983132" w:rsidR="00CD720F" w:rsidRDefault="002F11F7" w:rsidP="00A44857">
      <w:r>
        <w:t>I</w:t>
      </w:r>
      <w:r w:rsidR="001A46CC">
        <w:t xml:space="preserve">nitially IAC meetings were held monthly in 2018, </w:t>
      </w:r>
      <w:r>
        <w:t xml:space="preserve">but meeting frequency changed to </w:t>
      </w:r>
      <w:r w:rsidR="00CD720F">
        <w:t>every other month</w:t>
      </w:r>
      <w:r w:rsidR="001A46CC">
        <w:t xml:space="preserve"> </w:t>
      </w:r>
      <w:r>
        <w:t xml:space="preserve">beginning </w:t>
      </w:r>
      <w:r w:rsidR="001A46CC">
        <w:t>in 2019</w:t>
      </w:r>
      <w:r w:rsidR="00CD720F">
        <w:t xml:space="preserve">. </w:t>
      </w:r>
      <w:r w:rsidR="002274A4">
        <w:t>Additionally, m</w:t>
      </w:r>
      <w:r w:rsidR="00CD720F">
        <w:t>eetings were moved</w:t>
      </w:r>
      <w:r w:rsidR="00CD720F" w:rsidRPr="002F685A">
        <w:t xml:space="preserve"> </w:t>
      </w:r>
      <w:r w:rsidR="00CD720F">
        <w:t>from the first Thursday of every other month from 1-3</w:t>
      </w:r>
      <w:r>
        <w:t xml:space="preserve"> </w:t>
      </w:r>
      <w:r w:rsidR="00CD720F">
        <w:t>pm to the first Tuesday of every other month from 2-4</w:t>
      </w:r>
      <w:r w:rsidR="00E13E57">
        <w:t xml:space="preserve"> </w:t>
      </w:r>
      <w:r w:rsidR="00CD720F">
        <w:t>pm starting in April 2020 to allow greater flexibility for youth to attend.</w:t>
      </w:r>
    </w:p>
    <w:p w14:paraId="7AA5411A" w14:textId="34953F0A" w:rsidR="00B46503" w:rsidRDefault="0049324C" w:rsidP="00A44857">
      <w:r w:rsidRPr="0049324C">
        <w:t xml:space="preserve">In July 2019, NH DHHS established a Children’s System of Care (CSoC) Advisory Council to oversee the multiple initiatives focusing on behavioral healthcare for children, youth, and young adults. The IAC now operates as a sub-council within this umbrella organization and continues to act as the governing body for the </w:t>
      </w:r>
      <w:r>
        <w:t>CC-NH</w:t>
      </w:r>
      <w:r w:rsidRPr="0049324C">
        <w:t xml:space="preserve"> initiative, in coordination with this broader state initiative. The CSoC Advisory Council meets every other month with </w:t>
      </w:r>
      <w:r>
        <w:t>CC-NH</w:t>
      </w:r>
      <w:r w:rsidRPr="0049324C">
        <w:t xml:space="preserve"> IAC business incorporated into its agenda. </w:t>
      </w:r>
      <w:r w:rsidR="00BD2AB5" w:rsidRPr="0049324C">
        <w:t xml:space="preserve">CSoC </w:t>
      </w:r>
      <w:r w:rsidR="00BD2AB5">
        <w:t>meetings were held in July, September, and November</w:t>
      </w:r>
      <w:r w:rsidR="001A46CC">
        <w:t xml:space="preserve"> 2019 and </w:t>
      </w:r>
      <w:r w:rsidR="00E20A86">
        <w:t>in January</w:t>
      </w:r>
      <w:r w:rsidR="0038094D">
        <w:t xml:space="preserve">, </w:t>
      </w:r>
      <w:r w:rsidR="003706D2">
        <w:t xml:space="preserve">May, </w:t>
      </w:r>
      <w:r w:rsidR="0038094D">
        <w:t>July, September, and November</w:t>
      </w:r>
      <w:r w:rsidR="001A46CC">
        <w:t xml:space="preserve"> 2020</w:t>
      </w:r>
      <w:r w:rsidR="00BD2AB5">
        <w:t>.</w:t>
      </w:r>
      <w:r w:rsidR="00E20A86">
        <w:t xml:space="preserve"> The M</w:t>
      </w:r>
      <w:r w:rsidR="003706D2">
        <w:t>arch</w:t>
      </w:r>
      <w:r w:rsidR="00E20A86">
        <w:t xml:space="preserve"> 2020 meeting was cancelled due </w:t>
      </w:r>
      <w:r w:rsidR="003706D2">
        <w:t>to competing priorities and scheduling logistics</w:t>
      </w:r>
      <w:r w:rsidR="00E20A86">
        <w:t>.</w:t>
      </w:r>
      <w:r w:rsidR="00BD2AB5">
        <w:t xml:space="preserve"> </w:t>
      </w:r>
      <w:r w:rsidRPr="0049324C">
        <w:t>During the months that do not have a CSoC meeting, the IAC m</w:t>
      </w:r>
      <w:r>
        <w:t xml:space="preserve">eets on its own. </w:t>
      </w:r>
      <w:r w:rsidR="00BD2AB5">
        <w:t xml:space="preserve">IAC meetings were held </w:t>
      </w:r>
      <w:r w:rsidR="004A05D2">
        <w:t xml:space="preserve">monthly in 2018 and </w:t>
      </w:r>
      <w:r w:rsidR="00BD2AB5">
        <w:t>in January, March, May, August, and December</w:t>
      </w:r>
      <w:r w:rsidR="001A46CC">
        <w:t xml:space="preserve"> 2019 and February, April, June, August, October, and December 2020</w:t>
      </w:r>
      <w:r w:rsidR="00BD2AB5">
        <w:t xml:space="preserve">. </w:t>
      </w:r>
      <w:r w:rsidR="00B46503" w:rsidRPr="00B46503">
        <w:t xml:space="preserve">Starting in </w:t>
      </w:r>
      <w:r w:rsidR="00BD2AB5">
        <w:t>July and August</w:t>
      </w:r>
      <w:r w:rsidR="00B46503" w:rsidRPr="00B46503">
        <w:t xml:space="preserve"> 2019, program directors and service providers from the two pilot sites also </w:t>
      </w:r>
      <w:r w:rsidR="00C85CDE">
        <w:t xml:space="preserve">began </w:t>
      </w:r>
      <w:r w:rsidR="00B46503" w:rsidRPr="00B46503">
        <w:t>attend</w:t>
      </w:r>
      <w:r w:rsidR="00C85CDE">
        <w:t>ing</w:t>
      </w:r>
      <w:r w:rsidR="00B46503" w:rsidRPr="00B46503">
        <w:t xml:space="preserve"> </w:t>
      </w:r>
      <w:r w:rsidR="00987133" w:rsidRPr="0049324C">
        <w:t>CSoC</w:t>
      </w:r>
      <w:r w:rsidR="00BD2AB5">
        <w:t xml:space="preserve"> and IAC</w:t>
      </w:r>
      <w:r w:rsidR="00987133" w:rsidRPr="00B46503">
        <w:t xml:space="preserve"> </w:t>
      </w:r>
      <w:r w:rsidR="00B46503" w:rsidRPr="00B46503">
        <w:t>meetings</w:t>
      </w:r>
      <w:r w:rsidR="00BD2AB5">
        <w:t>, respectively</w:t>
      </w:r>
      <w:r w:rsidR="00B46503" w:rsidRPr="00B46503">
        <w:t>.</w:t>
      </w:r>
    </w:p>
    <w:p w14:paraId="30BF7EAD" w14:textId="77777777" w:rsidR="00BD5A25" w:rsidRPr="00B1464D" w:rsidRDefault="00BD5A25" w:rsidP="00E43419">
      <w:pPr>
        <w:pStyle w:val="Heading3"/>
      </w:pPr>
      <w:bookmarkStart w:id="36" w:name="_Toc64988251"/>
      <w:r>
        <w:t>Interagency Council Member Survey</w:t>
      </w:r>
      <w:bookmarkEnd w:id="36"/>
    </w:p>
    <w:p w14:paraId="3D6B92FB" w14:textId="6364FEF1" w:rsidR="00D43085" w:rsidRDefault="00D43085" w:rsidP="00A44857">
      <w:r>
        <w:t xml:space="preserve">An </w:t>
      </w:r>
      <w:r w:rsidR="00BF6222">
        <w:t xml:space="preserve">online </w:t>
      </w:r>
      <w:r>
        <w:t xml:space="preserve">IAC member survey </w:t>
      </w:r>
      <w:r w:rsidR="00C33B7E">
        <w:t>was administered</w:t>
      </w:r>
      <w:r w:rsidR="00BD5A25">
        <w:t xml:space="preserve"> </w:t>
      </w:r>
      <w:r>
        <w:t xml:space="preserve">in June 2019. </w:t>
      </w:r>
      <w:r w:rsidR="00BD5A25" w:rsidRPr="00BD5A25">
        <w:t xml:space="preserve">Council members were informed in advance of the upcoming survey effort and received links to the instrument via email. </w:t>
      </w:r>
      <w:r w:rsidR="00BD5A25">
        <w:t xml:space="preserve">A reminder email was sent to all IAC members one week prior to the close of the survey. </w:t>
      </w:r>
      <w:r w:rsidR="004C3BB9">
        <w:t xml:space="preserve">While </w:t>
      </w:r>
      <w:r w:rsidR="002274A4">
        <w:t>43</w:t>
      </w:r>
      <w:r w:rsidR="004C3BB9">
        <w:t xml:space="preserve"> IAC members were sent a link to the survey, only </w:t>
      </w:r>
      <w:r w:rsidR="002274A4">
        <w:t xml:space="preserve">11 </w:t>
      </w:r>
      <w:r w:rsidR="00C33B7E">
        <w:t xml:space="preserve">members responded, </w:t>
      </w:r>
      <w:r w:rsidR="007B67A9">
        <w:t xml:space="preserve">resulting in a response rate of </w:t>
      </w:r>
      <w:r w:rsidR="004C3BB9">
        <w:t>25.6</w:t>
      </w:r>
      <w:r w:rsidR="007B67A9">
        <w:t>%.</w:t>
      </w:r>
      <w:r w:rsidR="00BD5A25">
        <w:t xml:space="preserve"> </w:t>
      </w:r>
      <w:r w:rsidR="00BD5A25" w:rsidRPr="00BD5A25">
        <w:t>Survey responses were extracted and analyzed in Excel.</w:t>
      </w:r>
    </w:p>
    <w:p w14:paraId="62F282BF" w14:textId="77777777" w:rsidR="00C042A0" w:rsidRPr="00E43419" w:rsidRDefault="00C042A0" w:rsidP="00E43419">
      <w:pPr>
        <w:pStyle w:val="Heading4"/>
      </w:pPr>
      <w:r w:rsidRPr="00C042A0">
        <w:lastRenderedPageBreak/>
        <w:t xml:space="preserve">Member Characteristics </w:t>
      </w:r>
    </w:p>
    <w:p w14:paraId="0C8EB1E1" w14:textId="77777777" w:rsidR="00B36F0E" w:rsidRDefault="00B36F0E" w:rsidP="00E43419">
      <w:pPr>
        <w:keepNext/>
        <w:keepLines/>
      </w:pPr>
      <w:r>
        <w:t>Among the 11 IAC members who responded to the survey:</w:t>
      </w:r>
    </w:p>
    <w:p w14:paraId="594ACC12" w14:textId="77777777" w:rsidR="00B36F0E" w:rsidRDefault="00B36F0E" w:rsidP="00281135">
      <w:pPr>
        <w:pStyle w:val="ListParagraph"/>
        <w:numPr>
          <w:ilvl w:val="0"/>
          <w:numId w:val="8"/>
        </w:numPr>
      </w:pPr>
      <w:r>
        <w:t>78% were female, out of 9 members who provided information on gender;</w:t>
      </w:r>
    </w:p>
    <w:p w14:paraId="2583A562" w14:textId="08FDADFD" w:rsidR="00B36F0E" w:rsidRDefault="00AF0681" w:rsidP="00281135">
      <w:pPr>
        <w:pStyle w:val="ListParagraph"/>
        <w:numPr>
          <w:ilvl w:val="0"/>
          <w:numId w:val="8"/>
        </w:numPr>
      </w:pPr>
      <w:r>
        <w:t xml:space="preserve">all </w:t>
      </w:r>
      <w:r w:rsidR="00B36F0E">
        <w:t xml:space="preserve">but one </w:t>
      </w:r>
      <w:r>
        <w:t xml:space="preserve">of the </w:t>
      </w:r>
      <w:r w:rsidR="00B36F0E">
        <w:t>member</w:t>
      </w:r>
      <w:r>
        <w:t>s</w:t>
      </w:r>
      <w:r w:rsidR="00B36F0E">
        <w:t xml:space="preserve"> who provided information on race identified as white; </w:t>
      </w:r>
      <w:r w:rsidR="008E6A30">
        <w:t>one</w:t>
      </w:r>
      <w:r w:rsidR="00B36F0E">
        <w:t xml:space="preserve"> member identified as Hispanic</w:t>
      </w:r>
      <w:r w:rsidR="008E6A30">
        <w:t xml:space="preserve"> or </w:t>
      </w:r>
      <w:r w:rsidR="00B36F0E">
        <w:t>Latino;</w:t>
      </w:r>
    </w:p>
    <w:p w14:paraId="466C6815" w14:textId="5FBF3292" w:rsidR="00B36F0E" w:rsidRDefault="00B36F0E" w:rsidP="00281135">
      <w:pPr>
        <w:pStyle w:val="ListParagraph"/>
        <w:numPr>
          <w:ilvl w:val="0"/>
          <w:numId w:val="8"/>
        </w:numPr>
      </w:pPr>
      <w:r>
        <w:t>91% were age 35 or older, 9% (one member) was between the age of 25 and 34;</w:t>
      </w:r>
      <w:r w:rsidR="00AF0681">
        <w:t xml:space="preserve"> and</w:t>
      </w:r>
    </w:p>
    <w:p w14:paraId="47E1D268" w14:textId="77777777" w:rsidR="00B36F0E" w:rsidRDefault="00B36F0E" w:rsidP="00281135">
      <w:pPr>
        <w:pStyle w:val="ListParagraph"/>
        <w:numPr>
          <w:ilvl w:val="0"/>
          <w:numId w:val="8"/>
        </w:numPr>
      </w:pPr>
      <w:r>
        <w:t>64% had a graduate degree; the remaining 36% had a bachelor’s degree or some college.</w:t>
      </w:r>
    </w:p>
    <w:p w14:paraId="3D51C562" w14:textId="77777777" w:rsidR="00C21C89" w:rsidRDefault="00CA51B3" w:rsidP="00E43419">
      <w:pPr>
        <w:spacing w:before="100" w:beforeAutospacing="1"/>
      </w:pPr>
      <w:r>
        <w:t xml:space="preserve">Almost half of respondents (48%) of the survey were members of the </w:t>
      </w:r>
      <w:r w:rsidR="00C21C89">
        <w:t>CC-NH management team. Due to this and the low survey response rate, results of the survey may not be generalizable to the entire council.</w:t>
      </w:r>
      <w:r w:rsidR="00FC172E">
        <w:t xml:space="preserve"> One reason the response rate might have been low is that the survey was administered before the pilot sites had started implementation. We expect </w:t>
      </w:r>
      <w:r w:rsidR="00BF6222">
        <w:t xml:space="preserve">the next </w:t>
      </w:r>
      <w:r w:rsidR="00FC172E">
        <w:t xml:space="preserve">survey of the council to have </w:t>
      </w:r>
      <w:r w:rsidR="00CA0446">
        <w:t xml:space="preserve">more respondents including staff from the pilot sites. </w:t>
      </w:r>
    </w:p>
    <w:p w14:paraId="050E2622" w14:textId="77777777" w:rsidR="00B36F0E" w:rsidRDefault="00DD3623" w:rsidP="00B36F0E">
      <w:r>
        <w:t>Survey respondents</w:t>
      </w:r>
      <w:r w:rsidR="00B36F0E">
        <w:t xml:space="preserve"> represented the following service systems:</w:t>
      </w:r>
    </w:p>
    <w:p w14:paraId="0AD99E8D" w14:textId="77777777" w:rsidR="00C042A0" w:rsidRDefault="00C042A0" w:rsidP="00281135">
      <w:pPr>
        <w:pStyle w:val="ListParagraph"/>
        <w:numPr>
          <w:ilvl w:val="0"/>
          <w:numId w:val="9"/>
        </w:numPr>
      </w:pPr>
      <w:r>
        <w:t>Education</w:t>
      </w:r>
    </w:p>
    <w:p w14:paraId="59A4438A" w14:textId="77777777" w:rsidR="00C042A0" w:rsidRDefault="00C042A0" w:rsidP="00281135">
      <w:pPr>
        <w:pStyle w:val="ListParagraph"/>
        <w:numPr>
          <w:ilvl w:val="0"/>
          <w:numId w:val="9"/>
        </w:numPr>
      </w:pPr>
      <w:r>
        <w:t>Criminal/juvenile justice</w:t>
      </w:r>
    </w:p>
    <w:p w14:paraId="0DBFE771" w14:textId="77777777" w:rsidR="00C042A0" w:rsidRDefault="00C042A0" w:rsidP="00281135">
      <w:pPr>
        <w:pStyle w:val="ListParagraph"/>
        <w:numPr>
          <w:ilvl w:val="0"/>
          <w:numId w:val="9"/>
        </w:numPr>
      </w:pPr>
      <w:r>
        <w:t>Substance use disorder (prevention and/or treatment)</w:t>
      </w:r>
    </w:p>
    <w:p w14:paraId="161E9985" w14:textId="77777777" w:rsidR="00C042A0" w:rsidRDefault="00C042A0" w:rsidP="00281135">
      <w:pPr>
        <w:pStyle w:val="ListParagraph"/>
        <w:numPr>
          <w:ilvl w:val="0"/>
          <w:numId w:val="9"/>
        </w:numPr>
      </w:pPr>
      <w:r>
        <w:t>Wraparound provider</w:t>
      </w:r>
    </w:p>
    <w:p w14:paraId="2EF43106" w14:textId="77777777" w:rsidR="00C042A0" w:rsidRDefault="00C042A0" w:rsidP="00281135">
      <w:pPr>
        <w:pStyle w:val="ListParagraph"/>
        <w:numPr>
          <w:ilvl w:val="0"/>
          <w:numId w:val="9"/>
        </w:numPr>
      </w:pPr>
      <w:r>
        <w:t>Care Management Entity</w:t>
      </w:r>
    </w:p>
    <w:p w14:paraId="69098560" w14:textId="772E771E" w:rsidR="00C042A0" w:rsidRDefault="00C042A0" w:rsidP="00281135">
      <w:pPr>
        <w:pStyle w:val="ListParagraph"/>
        <w:numPr>
          <w:ilvl w:val="0"/>
          <w:numId w:val="9"/>
        </w:numPr>
      </w:pPr>
      <w:r>
        <w:t>LGBTQ+</w:t>
      </w:r>
      <w:r w:rsidR="00A15128">
        <w:t xml:space="preserve"> </w:t>
      </w:r>
      <w:r w:rsidR="00187711">
        <w:t>e</w:t>
      </w:r>
      <w:r>
        <w:t xml:space="preserve">ducation, </w:t>
      </w:r>
      <w:r w:rsidR="00187711">
        <w:t>a</w:t>
      </w:r>
      <w:r>
        <w:t xml:space="preserve">dvocacy, and </w:t>
      </w:r>
      <w:r w:rsidR="00187711">
        <w:t>s</w:t>
      </w:r>
      <w:r>
        <w:t>upport</w:t>
      </w:r>
    </w:p>
    <w:p w14:paraId="2D4E97AE" w14:textId="77777777" w:rsidR="00B36F0E" w:rsidRDefault="00C042A0" w:rsidP="00281135">
      <w:pPr>
        <w:pStyle w:val="ListParagraph"/>
        <w:numPr>
          <w:ilvl w:val="0"/>
          <w:numId w:val="9"/>
        </w:numPr>
      </w:pPr>
      <w:r>
        <w:t>Policy &amp; Advocacy organization</w:t>
      </w:r>
    </w:p>
    <w:p w14:paraId="3B1DC5F4" w14:textId="3CFA9EA0" w:rsidR="007A4C3A" w:rsidRDefault="007A4C3A" w:rsidP="00E45D12">
      <w:pPr>
        <w:spacing w:before="360"/>
      </w:pPr>
      <w:r>
        <w:t xml:space="preserve">Missing from </w:t>
      </w:r>
      <w:r w:rsidR="00786BDE">
        <w:t xml:space="preserve">the council were </w:t>
      </w:r>
      <w:r w:rsidR="00786BDE" w:rsidRPr="00786BDE">
        <w:t>representatives from the State Medicaid agency</w:t>
      </w:r>
      <w:r w:rsidR="00786BDE">
        <w:t xml:space="preserve"> and the mental health, child welfare, labor/employment, and housing sectors.</w:t>
      </w:r>
      <w:r w:rsidR="000F78FA">
        <w:t xml:space="preserve"> </w:t>
      </w:r>
      <w:r w:rsidR="00B37B71">
        <w:t>While 73% of members thought that the council was representative of the varied groups/citizens of the community, some m</w:t>
      </w:r>
      <w:r w:rsidR="000F78FA">
        <w:t xml:space="preserve">embers thought the youth and family voice could be stronger, including </w:t>
      </w:r>
      <w:r w:rsidR="00A879B4">
        <w:t xml:space="preserve">youth and families </w:t>
      </w:r>
      <w:r w:rsidR="001C73F7">
        <w:t>from</w:t>
      </w:r>
      <w:r w:rsidR="00A879B4">
        <w:t xml:space="preserve"> a broader range of racial and ethnic groups</w:t>
      </w:r>
      <w:r w:rsidR="000F78FA">
        <w:t xml:space="preserve">, </w:t>
      </w:r>
      <w:r w:rsidR="00FE0F89">
        <w:t xml:space="preserve">from </w:t>
      </w:r>
      <w:r w:rsidR="000F78FA">
        <w:t>LGBTQ</w:t>
      </w:r>
      <w:r w:rsidR="00A879B4">
        <w:t xml:space="preserve"> populations</w:t>
      </w:r>
      <w:r w:rsidR="000F78FA">
        <w:t xml:space="preserve">, and </w:t>
      </w:r>
      <w:r w:rsidR="00FE0F89">
        <w:t xml:space="preserve">those who are </w:t>
      </w:r>
      <w:r w:rsidR="000F78FA">
        <w:t>new American</w:t>
      </w:r>
      <w:r w:rsidR="005470DC">
        <w:t>s</w:t>
      </w:r>
      <w:r w:rsidR="000F78FA">
        <w:t xml:space="preserve">. </w:t>
      </w:r>
      <w:r w:rsidR="009E2888">
        <w:t>Some m</w:t>
      </w:r>
      <w:r w:rsidR="000F78FA">
        <w:t>embers thought law enforcement/emergency responders and SUD treatment organizations serving youth were also missing from the council.</w:t>
      </w:r>
    </w:p>
    <w:p w14:paraId="003FF005" w14:textId="31FE40E2" w:rsidR="00BF6222" w:rsidRDefault="00BF6222" w:rsidP="00BF6222">
      <w:r>
        <w:t xml:space="preserve">Only two respondents (18%) indicated that they were a youth or family member representative. Sixty-four percent of members did not think there was </w:t>
      </w:r>
      <w:r w:rsidRPr="00B37B71">
        <w:t>sufficient input from youth service users and their families in the planning process</w:t>
      </w:r>
      <w:r>
        <w:t xml:space="preserve">. The issue of the lack of involvement from youth and families was also raised when IAC members were asked about the challenges to CC-NH. Four of seven respondents thought that the IAC could be improved by getting more input from youth and families. </w:t>
      </w:r>
      <w:r w:rsidRPr="009D0E71">
        <w:t xml:space="preserve">Multiple council members thought more </w:t>
      </w:r>
      <w:r>
        <w:t xml:space="preserve">recruitment and </w:t>
      </w:r>
      <w:r w:rsidRPr="009D0E71">
        <w:t>outreach to youth</w:t>
      </w:r>
      <w:r>
        <w:t xml:space="preserve"> and families </w:t>
      </w:r>
      <w:r w:rsidRPr="009D0E71">
        <w:t xml:space="preserve">was needed, while others suggested offering </w:t>
      </w:r>
      <w:r>
        <w:t xml:space="preserve">financial </w:t>
      </w:r>
      <w:r w:rsidRPr="009D0E71">
        <w:t>compensation</w:t>
      </w:r>
      <w:r>
        <w:t xml:space="preserve"> or paying mileage</w:t>
      </w:r>
      <w:r w:rsidR="00FE0F89">
        <w:t xml:space="preserve"> for meeting attendance</w:t>
      </w:r>
      <w:r>
        <w:t>, alternating meeting times, or ensuring access to video conferencing would improve efforts to involve youth and their families</w:t>
      </w:r>
      <w:r w:rsidRPr="009D0E71">
        <w:t>.</w:t>
      </w:r>
      <w:r>
        <w:t xml:space="preserve"> </w:t>
      </w:r>
    </w:p>
    <w:p w14:paraId="2FE7A325" w14:textId="50EB4A72" w:rsidR="00BF6222" w:rsidRDefault="00BF6222" w:rsidP="00264B48">
      <w:r>
        <w:lastRenderedPageBreak/>
        <w:t>During the year</w:t>
      </w:r>
      <w:r w:rsidR="00FE0F89">
        <w:t xml:space="preserve"> </w:t>
      </w:r>
      <w:r>
        <w:t>and</w:t>
      </w:r>
      <w:r w:rsidR="00FE0F89">
        <w:t xml:space="preserve"> </w:t>
      </w:r>
      <w:r>
        <w:t>a</w:t>
      </w:r>
      <w:r w:rsidR="00FE0F89">
        <w:t xml:space="preserve"> </w:t>
      </w:r>
      <w:r>
        <w:t xml:space="preserve">half following this baseline survey, the CC-NH management team made efforts to increase youth participation and to </w:t>
      </w:r>
      <w:r w:rsidR="009E3675">
        <w:t>reach out to the underrepresented sectors to garner their involvement in the program</w:t>
      </w:r>
      <w:r>
        <w:t>.</w:t>
      </w:r>
    </w:p>
    <w:p w14:paraId="646A862D" w14:textId="77777777" w:rsidR="00786BDE" w:rsidRDefault="00786BDE" w:rsidP="00C042A0">
      <w:r>
        <w:t xml:space="preserve">Sixty-four percent of respondents </w:t>
      </w:r>
      <w:r w:rsidR="009E3675">
        <w:t xml:space="preserve">were </w:t>
      </w:r>
      <w:r>
        <w:t xml:space="preserve">involved in other councils or workgroups in NH that </w:t>
      </w:r>
      <w:r w:rsidRPr="00786BDE">
        <w:t>focus on behavioral health systems integration or services for adolescents and transitional age youth</w:t>
      </w:r>
      <w:r>
        <w:t>. These include:</w:t>
      </w:r>
    </w:p>
    <w:p w14:paraId="65AA5C5D" w14:textId="77777777" w:rsidR="00476165" w:rsidRDefault="00476165" w:rsidP="00786BDE">
      <w:pPr>
        <w:pStyle w:val="ListParagraph"/>
        <w:numPr>
          <w:ilvl w:val="0"/>
          <w:numId w:val="10"/>
        </w:numPr>
        <w:sectPr w:rsidR="00476165" w:rsidSect="007E1C46">
          <w:footerReference w:type="default" r:id="rId17"/>
          <w:pgSz w:w="12240" w:h="15840"/>
          <w:pgMar w:top="1440" w:right="1440" w:bottom="1440" w:left="1440" w:header="720" w:footer="720" w:gutter="0"/>
          <w:pgNumType w:start="1"/>
          <w:cols w:space="720"/>
          <w:docGrid w:linePitch="360"/>
        </w:sectPr>
      </w:pPr>
    </w:p>
    <w:p w14:paraId="53A64AD4" w14:textId="77777777" w:rsidR="00786BDE" w:rsidRPr="00786BDE" w:rsidRDefault="00786BDE" w:rsidP="00786BDE">
      <w:pPr>
        <w:pStyle w:val="ListParagraph"/>
        <w:numPr>
          <w:ilvl w:val="0"/>
          <w:numId w:val="10"/>
        </w:numPr>
      </w:pPr>
      <w:r w:rsidRPr="00786BDE">
        <w:t>NH Children's Behavioral Health Collaborative</w:t>
      </w:r>
      <w:r>
        <w:t xml:space="preserve"> (including the p</w:t>
      </w:r>
      <w:r w:rsidRPr="00786BDE">
        <w:t>olicy</w:t>
      </w:r>
      <w:r>
        <w:t>, workforce, and peer support</w:t>
      </w:r>
      <w:r w:rsidRPr="00786BDE">
        <w:t xml:space="preserve"> workgroup</w:t>
      </w:r>
      <w:r>
        <w:t>)</w:t>
      </w:r>
    </w:p>
    <w:p w14:paraId="2D918833" w14:textId="77777777" w:rsidR="00786BDE" w:rsidRPr="00786BDE" w:rsidRDefault="00786BDE" w:rsidP="00786BDE">
      <w:pPr>
        <w:pStyle w:val="ListParagraph"/>
        <w:numPr>
          <w:ilvl w:val="0"/>
          <w:numId w:val="10"/>
        </w:numPr>
      </w:pPr>
      <w:r w:rsidRPr="00786BDE">
        <w:t>Wraparound</w:t>
      </w:r>
    </w:p>
    <w:p w14:paraId="4322D68E" w14:textId="77777777" w:rsidR="00786BDE" w:rsidRPr="00786BDE" w:rsidRDefault="00786BDE" w:rsidP="00786BDE">
      <w:pPr>
        <w:pStyle w:val="ListParagraph"/>
        <w:numPr>
          <w:ilvl w:val="0"/>
          <w:numId w:val="10"/>
        </w:numPr>
      </w:pPr>
      <w:r w:rsidRPr="00786BDE">
        <w:t>Behavioral Health Equity Workgroup</w:t>
      </w:r>
    </w:p>
    <w:p w14:paraId="2A8DF11C" w14:textId="77777777" w:rsidR="00786BDE" w:rsidRPr="00786BDE" w:rsidRDefault="00786BDE" w:rsidP="00786BDE">
      <w:pPr>
        <w:pStyle w:val="ListParagraph"/>
        <w:numPr>
          <w:ilvl w:val="0"/>
          <w:numId w:val="10"/>
        </w:numPr>
      </w:pPr>
      <w:r w:rsidRPr="00786BDE">
        <w:t>Youth Suicide Prevention Assembly</w:t>
      </w:r>
    </w:p>
    <w:p w14:paraId="22678BC0" w14:textId="77777777" w:rsidR="00786BDE" w:rsidRPr="00786BDE" w:rsidRDefault="00786BDE" w:rsidP="008F3C56">
      <w:pPr>
        <w:pStyle w:val="ListParagraph"/>
        <w:numPr>
          <w:ilvl w:val="0"/>
          <w:numId w:val="10"/>
        </w:numPr>
        <w:spacing w:after="120"/>
      </w:pPr>
      <w:r w:rsidRPr="00786BDE">
        <w:t>Integrated Team for Bureau of Developmental Services</w:t>
      </w:r>
    </w:p>
    <w:p w14:paraId="796910A6" w14:textId="2E2D8FC0" w:rsidR="00786BDE" w:rsidRPr="00786BDE" w:rsidRDefault="00786BDE" w:rsidP="00786BDE">
      <w:pPr>
        <w:pStyle w:val="ListParagraph"/>
        <w:numPr>
          <w:ilvl w:val="0"/>
          <w:numId w:val="10"/>
        </w:numPr>
      </w:pPr>
      <w:r w:rsidRPr="00786BDE">
        <w:t>C</w:t>
      </w:r>
      <w:r w:rsidR="00187711">
        <w:t xml:space="preserve">ommunity </w:t>
      </w:r>
      <w:r w:rsidRPr="00786BDE">
        <w:t>M</w:t>
      </w:r>
      <w:r w:rsidR="00187711">
        <w:t xml:space="preserve">ental </w:t>
      </w:r>
      <w:r w:rsidRPr="00786BDE">
        <w:t>H</w:t>
      </w:r>
      <w:r w:rsidR="00187711">
        <w:t xml:space="preserve">ealth </w:t>
      </w:r>
      <w:r w:rsidRPr="00786BDE">
        <w:t>C</w:t>
      </w:r>
      <w:r w:rsidR="00187711">
        <w:t>enter</w:t>
      </w:r>
      <w:r w:rsidRPr="00786BDE">
        <w:t xml:space="preserve"> Children's Directors</w:t>
      </w:r>
    </w:p>
    <w:p w14:paraId="4EB0B095" w14:textId="77777777" w:rsidR="00786BDE" w:rsidRPr="00786BDE" w:rsidRDefault="00786BDE" w:rsidP="00786BDE">
      <w:pPr>
        <w:pStyle w:val="ListParagraph"/>
        <w:numPr>
          <w:ilvl w:val="0"/>
          <w:numId w:val="10"/>
        </w:numPr>
      </w:pPr>
      <w:r w:rsidRPr="00786BDE">
        <w:t>DCYF Case Transition Workgroup</w:t>
      </w:r>
    </w:p>
    <w:p w14:paraId="6B731CC4" w14:textId="77777777" w:rsidR="00786BDE" w:rsidRPr="00786BDE" w:rsidRDefault="00786BDE" w:rsidP="00786BDE">
      <w:pPr>
        <w:pStyle w:val="ListParagraph"/>
        <w:numPr>
          <w:ilvl w:val="0"/>
          <w:numId w:val="10"/>
        </w:numPr>
      </w:pPr>
      <w:r w:rsidRPr="00786BDE">
        <w:t>Anti-Human Trafficking Workgroup</w:t>
      </w:r>
    </w:p>
    <w:p w14:paraId="3A2386D6" w14:textId="77777777" w:rsidR="00786BDE" w:rsidRPr="00786BDE" w:rsidRDefault="00786BDE" w:rsidP="00786BDE">
      <w:pPr>
        <w:pStyle w:val="ListParagraph"/>
        <w:numPr>
          <w:ilvl w:val="0"/>
          <w:numId w:val="10"/>
        </w:numPr>
      </w:pPr>
      <w:r w:rsidRPr="00786BDE">
        <w:t>NH State Rehab Council</w:t>
      </w:r>
    </w:p>
    <w:p w14:paraId="7FF88E7D" w14:textId="77777777" w:rsidR="00786BDE" w:rsidRPr="00786BDE" w:rsidRDefault="00786BDE" w:rsidP="00786BDE">
      <w:pPr>
        <w:pStyle w:val="ListParagraph"/>
        <w:numPr>
          <w:ilvl w:val="0"/>
          <w:numId w:val="10"/>
        </w:numPr>
      </w:pPr>
      <w:r w:rsidRPr="00786BDE">
        <w:t>System of Care</w:t>
      </w:r>
    </w:p>
    <w:p w14:paraId="7D7F4DF0" w14:textId="77777777" w:rsidR="00786BDE" w:rsidRPr="00786BDE" w:rsidRDefault="00786BDE" w:rsidP="00786BDE">
      <w:pPr>
        <w:pStyle w:val="ListParagraph"/>
        <w:numPr>
          <w:ilvl w:val="0"/>
          <w:numId w:val="10"/>
        </w:numPr>
      </w:pPr>
      <w:r w:rsidRPr="00786BDE">
        <w:t>Integrated Delivery Network</w:t>
      </w:r>
    </w:p>
    <w:p w14:paraId="17DDEC32" w14:textId="77777777" w:rsidR="00786BDE" w:rsidRPr="00786BDE" w:rsidRDefault="00786BDE" w:rsidP="00786BDE">
      <w:pPr>
        <w:pStyle w:val="ListParagraph"/>
        <w:numPr>
          <w:ilvl w:val="0"/>
          <w:numId w:val="10"/>
        </w:numPr>
      </w:pPr>
      <w:r w:rsidRPr="00786BDE">
        <w:t>Small group CME</w:t>
      </w:r>
    </w:p>
    <w:p w14:paraId="37BB0551" w14:textId="77777777" w:rsidR="00476165" w:rsidRDefault="00786BDE" w:rsidP="003A2208">
      <w:pPr>
        <w:pStyle w:val="ListParagraph"/>
        <w:numPr>
          <w:ilvl w:val="0"/>
          <w:numId w:val="10"/>
        </w:numPr>
        <w:sectPr w:rsidR="00476165" w:rsidSect="00E7760C">
          <w:type w:val="continuous"/>
          <w:pgSz w:w="12240" w:h="15840"/>
          <w:pgMar w:top="1440" w:right="1440" w:bottom="1440" w:left="1440" w:header="720" w:footer="720" w:gutter="0"/>
          <w:cols w:num="2" w:space="720"/>
          <w:docGrid w:linePitch="360"/>
        </w:sectPr>
      </w:pPr>
      <w:r w:rsidRPr="00786BDE">
        <w:t>Large group CM</w:t>
      </w:r>
      <w:r w:rsidR="00180AF0">
        <w:t>E</w:t>
      </w:r>
    </w:p>
    <w:p w14:paraId="1CC7D563" w14:textId="77777777" w:rsidR="00593E04" w:rsidRDefault="00593E04" w:rsidP="00E43419">
      <w:pPr>
        <w:pStyle w:val="Heading3"/>
        <w:spacing w:before="240"/>
      </w:pPr>
      <w:bookmarkStart w:id="37" w:name="_Toc64988252"/>
      <w:r>
        <w:t>Subcommittee</w:t>
      </w:r>
      <w:r w:rsidR="00B1464D">
        <w:t>s</w:t>
      </w:r>
      <w:r>
        <w:t xml:space="preserve"> </w:t>
      </w:r>
      <w:r w:rsidR="004B0D27">
        <w:t>and Workgroups</w:t>
      </w:r>
      <w:bookmarkEnd w:id="37"/>
    </w:p>
    <w:p w14:paraId="3951EC17" w14:textId="77777777" w:rsidR="002144F9" w:rsidRDefault="00B46503" w:rsidP="00B46503">
      <w:r>
        <w:t xml:space="preserve">There are three IAC subcommittees: the Workforce Development </w:t>
      </w:r>
      <w:r w:rsidR="00B56726">
        <w:t>W</w:t>
      </w:r>
      <w:r>
        <w:t>orkgroup</w:t>
      </w:r>
      <w:r w:rsidR="00B56726">
        <w:t xml:space="preserve"> (WDW)</w:t>
      </w:r>
      <w:r>
        <w:t xml:space="preserve">, the Peer-to-Peer Workgroup, and the Policy </w:t>
      </w:r>
      <w:r w:rsidR="00CC6BDF">
        <w:t>W</w:t>
      </w:r>
      <w:r>
        <w:t xml:space="preserve">orkgroup. </w:t>
      </w:r>
      <w:r w:rsidR="00640A51">
        <w:t xml:space="preserve">The </w:t>
      </w:r>
      <w:r w:rsidR="004B0D27">
        <w:t xml:space="preserve">WDW </w:t>
      </w:r>
      <w:r w:rsidR="00640A51">
        <w:t xml:space="preserve">oversees all workforce development and implementation activities of the CC-NH project. </w:t>
      </w:r>
      <w:r w:rsidR="002144F9">
        <w:t xml:space="preserve">The </w:t>
      </w:r>
      <w:r w:rsidR="00B56726">
        <w:t>WDW</w:t>
      </w:r>
      <w:r w:rsidR="002144F9">
        <w:t xml:space="preserve"> has engaged with </w:t>
      </w:r>
      <w:r w:rsidR="002144F9" w:rsidRPr="00F27256">
        <w:rPr>
          <w:i/>
        </w:rPr>
        <w:t>The Seven Challenges</w:t>
      </w:r>
      <w:r w:rsidR="002144F9">
        <w:t xml:space="preserve"> developer</w:t>
      </w:r>
      <w:r w:rsidR="004B0D27">
        <w:t xml:space="preserve">, organized provider and leader trainings in implementing the EBP, trained the pilot sites in CANS and ANSA assessment, established a </w:t>
      </w:r>
      <w:r w:rsidR="00B56726">
        <w:t>C</w:t>
      </w:r>
      <w:r w:rsidR="004B0D27">
        <w:t xml:space="preserve">ommunity of </w:t>
      </w:r>
      <w:r w:rsidR="00B56726">
        <w:t>P</w:t>
      </w:r>
      <w:r w:rsidR="004B0D27">
        <w:t>ractice (CoP) for pilot sites, and facilitated CoP meetings. The WDW has also contacted area colleges and universities to identify degree programs and other training resources relevant to the project and is working with a university to expand the range of training resources available to area providers.</w:t>
      </w:r>
    </w:p>
    <w:p w14:paraId="16DAFFE1" w14:textId="7D4AF5CE" w:rsidR="004B0D27" w:rsidRDefault="00640A51" w:rsidP="00B46503">
      <w:r>
        <w:t>The Peer-to-Peer Support workgroup</w:t>
      </w:r>
      <w:r w:rsidR="002144F9">
        <w:t xml:space="preserve">, organized by the </w:t>
      </w:r>
      <w:r w:rsidR="00B56726">
        <w:t>WDW</w:t>
      </w:r>
      <w:r w:rsidR="002144F9">
        <w:t xml:space="preserve"> with Youth MOVE taking a key role in activities, </w:t>
      </w:r>
      <w:r w:rsidR="009E3675">
        <w:t>developed</w:t>
      </w:r>
      <w:r w:rsidR="002144F9">
        <w:t xml:space="preserve"> a</w:t>
      </w:r>
      <w:r w:rsidR="009E3675">
        <w:t xml:space="preserve">n Alternative Peer Group </w:t>
      </w:r>
      <w:r w:rsidR="002144F9">
        <w:t xml:space="preserve">model for the state, including practice </w:t>
      </w:r>
      <w:r w:rsidR="009E3675">
        <w:t xml:space="preserve">profile, fidelity checklist, </w:t>
      </w:r>
      <w:r w:rsidR="00994FA0">
        <w:t xml:space="preserve">and </w:t>
      </w:r>
      <w:r w:rsidR="009E3675">
        <w:t>training curriculum for peer leaders</w:t>
      </w:r>
      <w:r w:rsidR="002144F9">
        <w:t xml:space="preserve">. </w:t>
      </w:r>
      <w:r w:rsidR="00994FA0">
        <w:t xml:space="preserve">With input from a broad range of stakeholders, the Evaluation Team developed a plan for assessing the impact of </w:t>
      </w:r>
      <w:r w:rsidR="004B1AD1">
        <w:t>Alternative Peer Groups</w:t>
      </w:r>
      <w:r w:rsidR="00994FA0">
        <w:t>, including tools for intake and follow-up data collection.</w:t>
      </w:r>
    </w:p>
    <w:p w14:paraId="6A972630" w14:textId="77777777" w:rsidR="0069481A" w:rsidRPr="00905684" w:rsidRDefault="002144F9" w:rsidP="0069481A">
      <w:r>
        <w:t xml:space="preserve">The Policy Workgroup has reviewed state policies related to the treatment of adolescents and transition-age youth with SUD and SUD/COD, identified barriers through stakeholder interviews and </w:t>
      </w:r>
      <w:r w:rsidR="009A03B9">
        <w:t xml:space="preserve">by reviewing existing policy </w:t>
      </w:r>
      <w:r>
        <w:t>document</w:t>
      </w:r>
      <w:r w:rsidR="009A03B9">
        <w:t>s</w:t>
      </w:r>
      <w:r>
        <w:t xml:space="preserve">, and drafted a report of their findings and recommendations for policy change. The draft report </w:t>
      </w:r>
      <w:r w:rsidR="00994FA0">
        <w:t>was reviewed by</w:t>
      </w:r>
      <w:r>
        <w:t xml:space="preserve"> the IAC </w:t>
      </w:r>
      <w:r w:rsidR="00994FA0">
        <w:t>and revised based on their</w:t>
      </w:r>
      <w:r>
        <w:t xml:space="preserve"> feedback.</w:t>
      </w:r>
    </w:p>
    <w:p w14:paraId="43A0FC45" w14:textId="77777777" w:rsidR="003A2208" w:rsidRDefault="003A2208" w:rsidP="008C4945">
      <w:pPr>
        <w:pStyle w:val="Heading2"/>
      </w:pPr>
      <w:bookmarkStart w:id="38" w:name="_Toc64988253"/>
      <w:r>
        <w:lastRenderedPageBreak/>
        <w:t>P</w:t>
      </w:r>
      <w:r w:rsidR="00BE0FC8">
        <w:t>ilot Sites</w:t>
      </w:r>
      <w:bookmarkEnd w:id="38"/>
      <w:r w:rsidR="00BE0FC8">
        <w:t xml:space="preserve"> </w:t>
      </w:r>
    </w:p>
    <w:p w14:paraId="11FAAE13" w14:textId="3FC4E61C" w:rsidR="000B5E5D" w:rsidRDefault="00486884" w:rsidP="000B5E5D">
      <w:r w:rsidRPr="009F2B24">
        <w:rPr>
          <w:iCs/>
        </w:rPr>
        <w:t xml:space="preserve">Two pilot sites, Greater Nashua Mental Health </w:t>
      </w:r>
      <w:r w:rsidR="00994FA0">
        <w:rPr>
          <w:iCs/>
        </w:rPr>
        <w:t xml:space="preserve">Center </w:t>
      </w:r>
      <w:r w:rsidRPr="009F2B24">
        <w:rPr>
          <w:iCs/>
        </w:rPr>
        <w:t>and Granite Pathways</w:t>
      </w:r>
      <w:r>
        <w:rPr>
          <w:iCs/>
        </w:rPr>
        <w:t xml:space="preserve"> were contracted in June 2019, then onboarded</w:t>
      </w:r>
      <w:r>
        <w:t xml:space="preserve"> and trained in the CC-NH care model and data collection procedures. Both sites were trained in the CANS assessment tool and </w:t>
      </w:r>
      <w:r w:rsidRPr="00187621">
        <w:rPr>
          <w:i/>
        </w:rPr>
        <w:t>The Seven Challenges</w:t>
      </w:r>
      <w:r>
        <w:t xml:space="preserve"> and began implementing </w:t>
      </w:r>
      <w:r w:rsidR="00994FA0" w:rsidRPr="00AC143D">
        <w:rPr>
          <w:i/>
          <w:iCs/>
        </w:rPr>
        <w:t>T</w:t>
      </w:r>
      <w:r w:rsidRPr="00AC143D">
        <w:rPr>
          <w:i/>
          <w:iCs/>
        </w:rPr>
        <w:t xml:space="preserve">he </w:t>
      </w:r>
      <w:r w:rsidR="00994FA0" w:rsidRPr="00AC143D">
        <w:rPr>
          <w:i/>
          <w:iCs/>
        </w:rPr>
        <w:t>Seven Challenges</w:t>
      </w:r>
      <w:r w:rsidR="00994FA0">
        <w:t xml:space="preserve"> treatment model</w:t>
      </w:r>
      <w:r>
        <w:t xml:space="preserve"> on </w:t>
      </w:r>
      <w:r w:rsidR="004B1AD1">
        <w:t xml:space="preserve">Aug. </w:t>
      </w:r>
      <w:r>
        <w:t>1, 2019.</w:t>
      </w:r>
    </w:p>
    <w:p w14:paraId="58F4BB8F" w14:textId="77777777" w:rsidR="003A1FD3" w:rsidRPr="00B22AF0" w:rsidRDefault="00994FA0" w:rsidP="00B22AF0">
      <w:pPr>
        <w:rPr>
          <w:iCs/>
        </w:rPr>
      </w:pPr>
      <w:r>
        <w:rPr>
          <w:iCs/>
        </w:rPr>
        <w:t xml:space="preserve">As mentioned earlier, </w:t>
      </w:r>
      <w:r w:rsidR="004A020A">
        <w:rPr>
          <w:iCs/>
        </w:rPr>
        <w:t xml:space="preserve">one of the sites, </w:t>
      </w:r>
      <w:r w:rsidR="00486884" w:rsidRPr="00B22AF0">
        <w:rPr>
          <w:iCs/>
        </w:rPr>
        <w:t>Granite Pathways</w:t>
      </w:r>
      <w:r w:rsidR="004A020A">
        <w:rPr>
          <w:iCs/>
        </w:rPr>
        <w:t>,</w:t>
      </w:r>
      <w:r w:rsidR="00486884" w:rsidRPr="00B22AF0">
        <w:rPr>
          <w:iCs/>
        </w:rPr>
        <w:t xml:space="preserve"> </w:t>
      </w:r>
      <w:r w:rsidR="004A020A">
        <w:rPr>
          <w:iCs/>
        </w:rPr>
        <w:t>ended its CC-NH</w:t>
      </w:r>
      <w:r w:rsidR="00486884" w:rsidRPr="00B22AF0">
        <w:rPr>
          <w:iCs/>
        </w:rPr>
        <w:t xml:space="preserve"> contract as of July 31, 2020.</w:t>
      </w:r>
      <w:r w:rsidR="004A020A">
        <w:rPr>
          <w:iCs/>
        </w:rPr>
        <w:t xml:space="preserve"> At the time of this report, Greater Nashua Mental Health Center is the only active pilot site. Efforts are underway to contract with additional pilot sites.</w:t>
      </w:r>
    </w:p>
    <w:p w14:paraId="3FCC40AE" w14:textId="77777777" w:rsidR="003609FD" w:rsidRDefault="003609FD" w:rsidP="00E43419">
      <w:pPr>
        <w:pStyle w:val="Heading3"/>
      </w:pPr>
      <w:bookmarkStart w:id="39" w:name="_Toc64988254"/>
      <w:r>
        <w:t>Greater Nashua Mental Health Center</w:t>
      </w:r>
      <w:bookmarkEnd w:id="39"/>
    </w:p>
    <w:p w14:paraId="19DA23FC" w14:textId="10DD9557" w:rsidR="00486884" w:rsidRPr="001342C4" w:rsidRDefault="00486884" w:rsidP="00486884">
      <w:pPr>
        <w:rPr>
          <w:iCs/>
        </w:rPr>
      </w:pPr>
      <w:r w:rsidRPr="001342C4">
        <w:rPr>
          <w:iCs/>
        </w:rPr>
        <w:t>The Greater Nashua Mental Health Center (GNMHC</w:t>
      </w:r>
      <w:r w:rsidR="00180AF0" w:rsidRPr="001342C4">
        <w:rPr>
          <w:iCs/>
        </w:rPr>
        <w:t>)</w:t>
      </w:r>
      <w:r w:rsidRPr="001342C4">
        <w:rPr>
          <w:iCs/>
        </w:rPr>
        <w:t xml:space="preserve"> is a community mental health center </w:t>
      </w:r>
      <w:r w:rsidR="004A020A">
        <w:rPr>
          <w:iCs/>
        </w:rPr>
        <w:t>established</w:t>
      </w:r>
      <w:r w:rsidR="004A020A" w:rsidRPr="001342C4">
        <w:rPr>
          <w:iCs/>
        </w:rPr>
        <w:t xml:space="preserve"> </w:t>
      </w:r>
      <w:r w:rsidRPr="001342C4">
        <w:rPr>
          <w:iCs/>
        </w:rPr>
        <w:t xml:space="preserve">100 years </w:t>
      </w:r>
      <w:r w:rsidR="004A020A">
        <w:rPr>
          <w:iCs/>
        </w:rPr>
        <w:t xml:space="preserve">ago. </w:t>
      </w:r>
      <w:r w:rsidR="004B1AD1">
        <w:rPr>
          <w:iCs/>
        </w:rPr>
        <w:t>It</w:t>
      </w:r>
      <w:r w:rsidR="004B1AD1" w:rsidRPr="001342C4">
        <w:rPr>
          <w:iCs/>
        </w:rPr>
        <w:t xml:space="preserve"> </w:t>
      </w:r>
      <w:r w:rsidRPr="001342C4">
        <w:rPr>
          <w:iCs/>
        </w:rPr>
        <w:t>deliver</w:t>
      </w:r>
      <w:r w:rsidR="004B1AD1">
        <w:rPr>
          <w:iCs/>
        </w:rPr>
        <w:t>s</w:t>
      </w:r>
      <w:r w:rsidRPr="001342C4">
        <w:rPr>
          <w:iCs/>
        </w:rPr>
        <w:t xml:space="preserve"> services across </w:t>
      </w:r>
      <w:r w:rsidR="004B1AD1">
        <w:rPr>
          <w:iCs/>
        </w:rPr>
        <w:t>four</w:t>
      </w:r>
      <w:r w:rsidR="004B1AD1" w:rsidRPr="001342C4">
        <w:rPr>
          <w:iCs/>
        </w:rPr>
        <w:t xml:space="preserve"> </w:t>
      </w:r>
      <w:r w:rsidRPr="001342C4">
        <w:rPr>
          <w:iCs/>
        </w:rPr>
        <w:t xml:space="preserve">sites to a catchment area of 11 surrounding towns in the Greater Nashua area. The GNMHC </w:t>
      </w:r>
      <w:r w:rsidR="00A21117" w:rsidRPr="001342C4">
        <w:rPr>
          <w:iCs/>
        </w:rPr>
        <w:t xml:space="preserve">serves everyone from children to the elderly </w:t>
      </w:r>
      <w:r w:rsidR="00A21117">
        <w:rPr>
          <w:iCs/>
        </w:rPr>
        <w:t xml:space="preserve">and </w:t>
      </w:r>
      <w:r w:rsidRPr="001342C4">
        <w:rPr>
          <w:iCs/>
        </w:rPr>
        <w:t xml:space="preserve">offers services ranging from case management, functional support services, mobile crisis for adults, medication-based programs (MAT) to </w:t>
      </w:r>
      <w:r w:rsidR="004A020A">
        <w:rPr>
          <w:iCs/>
        </w:rPr>
        <w:t xml:space="preserve">community and school </w:t>
      </w:r>
      <w:r w:rsidR="00180AF0" w:rsidRPr="001342C4">
        <w:rPr>
          <w:iCs/>
        </w:rPr>
        <w:t xml:space="preserve">outreach. </w:t>
      </w:r>
      <w:r w:rsidR="004B1AD1">
        <w:rPr>
          <w:iCs/>
        </w:rPr>
        <w:t>It</w:t>
      </w:r>
      <w:r w:rsidR="004B1AD1" w:rsidRPr="001342C4">
        <w:rPr>
          <w:iCs/>
        </w:rPr>
        <w:t xml:space="preserve"> </w:t>
      </w:r>
      <w:r w:rsidRPr="001342C4">
        <w:rPr>
          <w:iCs/>
        </w:rPr>
        <w:t>also work</w:t>
      </w:r>
      <w:r w:rsidR="004B1AD1">
        <w:rPr>
          <w:iCs/>
        </w:rPr>
        <w:t>s</w:t>
      </w:r>
      <w:r w:rsidRPr="001342C4">
        <w:rPr>
          <w:iCs/>
        </w:rPr>
        <w:t xml:space="preserve"> with the court </w:t>
      </w:r>
      <w:r w:rsidR="002104BA">
        <w:rPr>
          <w:iCs/>
        </w:rPr>
        <w:t xml:space="preserve">system </w:t>
      </w:r>
      <w:r w:rsidRPr="001342C4">
        <w:rPr>
          <w:iCs/>
        </w:rPr>
        <w:t xml:space="preserve">on </w:t>
      </w:r>
      <w:r w:rsidR="002104BA">
        <w:rPr>
          <w:iCs/>
        </w:rPr>
        <w:t xml:space="preserve">the </w:t>
      </w:r>
      <w:r w:rsidRPr="001342C4">
        <w:rPr>
          <w:iCs/>
        </w:rPr>
        <w:t xml:space="preserve">drug court </w:t>
      </w:r>
      <w:r w:rsidR="00180AF0" w:rsidRPr="001342C4">
        <w:rPr>
          <w:iCs/>
        </w:rPr>
        <w:t>program;</w:t>
      </w:r>
      <w:r w:rsidRPr="001342C4">
        <w:rPr>
          <w:iCs/>
        </w:rPr>
        <w:t xml:space="preserve"> </w:t>
      </w:r>
      <w:r w:rsidR="004B1AD1">
        <w:rPr>
          <w:iCs/>
        </w:rPr>
        <w:t>has</w:t>
      </w:r>
      <w:r w:rsidR="004B1AD1" w:rsidRPr="001342C4">
        <w:rPr>
          <w:iCs/>
        </w:rPr>
        <w:t xml:space="preserve"> </w:t>
      </w:r>
      <w:r w:rsidRPr="001342C4">
        <w:rPr>
          <w:iCs/>
        </w:rPr>
        <w:t xml:space="preserve">an integrated health care program, and housing and supported employment programs. </w:t>
      </w:r>
      <w:r w:rsidR="00A21117" w:rsidRPr="001342C4">
        <w:rPr>
          <w:iCs/>
        </w:rPr>
        <w:t>GNMHC also has a team that serves people who live with hearing disorders statewide.</w:t>
      </w:r>
      <w:r w:rsidR="00A21117">
        <w:rPr>
          <w:iCs/>
        </w:rPr>
        <w:t xml:space="preserve"> </w:t>
      </w:r>
      <w:r w:rsidRPr="001342C4">
        <w:rPr>
          <w:iCs/>
        </w:rPr>
        <w:t xml:space="preserve">The two sites serving the CC-NH project </w:t>
      </w:r>
      <w:r w:rsidR="002104BA">
        <w:rPr>
          <w:iCs/>
        </w:rPr>
        <w:t>are</w:t>
      </w:r>
      <w:r w:rsidRPr="001342C4">
        <w:rPr>
          <w:iCs/>
        </w:rPr>
        <w:t xml:space="preserve"> the Child, Adolescent &amp; Family Services site and the Adult Substance Misuse Services site.</w:t>
      </w:r>
    </w:p>
    <w:p w14:paraId="60A34D0B" w14:textId="189F7A50" w:rsidR="00486884" w:rsidRPr="001342C4" w:rsidRDefault="00486884" w:rsidP="00486884">
      <w:pPr>
        <w:rPr>
          <w:iCs/>
        </w:rPr>
      </w:pPr>
      <w:r w:rsidRPr="001342C4">
        <w:rPr>
          <w:iCs/>
        </w:rPr>
        <w:t>The GNMHC collaborate</w:t>
      </w:r>
      <w:r w:rsidR="00A21117">
        <w:rPr>
          <w:iCs/>
        </w:rPr>
        <w:t>s</w:t>
      </w:r>
      <w:r w:rsidRPr="001342C4">
        <w:rPr>
          <w:iCs/>
        </w:rPr>
        <w:t xml:space="preserve"> with the CC-NH Partners Group made up of stakeholders and organizations that are directly connected to the project. </w:t>
      </w:r>
      <w:r w:rsidR="00187711">
        <w:t>GNMHC</w:t>
      </w:r>
      <w:r w:rsidR="00187711" w:rsidRPr="001342C4">
        <w:rPr>
          <w:iCs/>
        </w:rPr>
        <w:t xml:space="preserve"> </w:t>
      </w:r>
      <w:r w:rsidR="00187711">
        <w:rPr>
          <w:iCs/>
        </w:rPr>
        <w:t xml:space="preserve">also </w:t>
      </w:r>
      <w:r w:rsidRPr="001342C4">
        <w:rPr>
          <w:iCs/>
        </w:rPr>
        <w:t>ha</w:t>
      </w:r>
      <w:r w:rsidR="00187711">
        <w:rPr>
          <w:iCs/>
        </w:rPr>
        <w:t>s</w:t>
      </w:r>
      <w:r w:rsidRPr="001342C4">
        <w:rPr>
          <w:iCs/>
        </w:rPr>
        <w:t xml:space="preserve"> liaisons with the child advocacy center, </w:t>
      </w:r>
      <w:r w:rsidR="006975F8">
        <w:rPr>
          <w:iCs/>
        </w:rPr>
        <w:t xml:space="preserve">the </w:t>
      </w:r>
      <w:r w:rsidRPr="000A5034">
        <w:rPr>
          <w:iCs/>
        </w:rPr>
        <w:t>D</w:t>
      </w:r>
      <w:r w:rsidR="006975F8" w:rsidRPr="000A5034">
        <w:rPr>
          <w:iCs/>
        </w:rPr>
        <w:t xml:space="preserve">ivision for </w:t>
      </w:r>
      <w:r w:rsidRPr="000A5034">
        <w:rPr>
          <w:iCs/>
        </w:rPr>
        <w:t>C</w:t>
      </w:r>
      <w:r w:rsidR="006975F8" w:rsidRPr="000A5034">
        <w:rPr>
          <w:iCs/>
        </w:rPr>
        <w:t xml:space="preserve">hildren, </w:t>
      </w:r>
      <w:r w:rsidRPr="000A5034">
        <w:rPr>
          <w:iCs/>
        </w:rPr>
        <w:t>Y</w:t>
      </w:r>
      <w:r w:rsidR="006975F8" w:rsidRPr="000A5034">
        <w:rPr>
          <w:iCs/>
        </w:rPr>
        <w:t xml:space="preserve">outh, and </w:t>
      </w:r>
      <w:r w:rsidRPr="000A5034">
        <w:rPr>
          <w:iCs/>
        </w:rPr>
        <w:t>F</w:t>
      </w:r>
      <w:r w:rsidR="006975F8" w:rsidRPr="00305664">
        <w:rPr>
          <w:iCs/>
        </w:rPr>
        <w:t>ami</w:t>
      </w:r>
      <w:r w:rsidR="006975F8" w:rsidRPr="000A5034">
        <w:rPr>
          <w:iCs/>
        </w:rPr>
        <w:t>lies</w:t>
      </w:r>
      <w:r w:rsidR="006659C4">
        <w:rPr>
          <w:iCs/>
        </w:rPr>
        <w:t xml:space="preserve"> (</w:t>
      </w:r>
      <w:r w:rsidR="006659C4" w:rsidRPr="001342C4">
        <w:rPr>
          <w:iCs/>
        </w:rPr>
        <w:t>DCYF</w:t>
      </w:r>
      <w:r w:rsidR="006659C4">
        <w:rPr>
          <w:iCs/>
        </w:rPr>
        <w:t>)</w:t>
      </w:r>
      <w:r w:rsidRPr="001342C4">
        <w:rPr>
          <w:iCs/>
        </w:rPr>
        <w:t>, and with</w:t>
      </w:r>
      <w:r w:rsidR="005853A2">
        <w:rPr>
          <w:iCs/>
        </w:rPr>
        <w:t xml:space="preserve"> the</w:t>
      </w:r>
      <w:r w:rsidRPr="001342C4">
        <w:rPr>
          <w:iCs/>
        </w:rPr>
        <w:t xml:space="preserve"> juvenile justice</w:t>
      </w:r>
      <w:r w:rsidR="005853A2">
        <w:rPr>
          <w:iCs/>
        </w:rPr>
        <w:t xml:space="preserve"> system</w:t>
      </w:r>
      <w:r w:rsidRPr="001342C4">
        <w:rPr>
          <w:iCs/>
        </w:rPr>
        <w:t xml:space="preserve">. </w:t>
      </w:r>
    </w:p>
    <w:p w14:paraId="73CF784F" w14:textId="37624435" w:rsidR="00486884" w:rsidRPr="001342C4" w:rsidRDefault="00486884" w:rsidP="003609FD">
      <w:pPr>
        <w:rPr>
          <w:iCs/>
        </w:rPr>
      </w:pPr>
      <w:r w:rsidRPr="001342C4">
        <w:rPr>
          <w:iCs/>
        </w:rPr>
        <w:t xml:space="preserve">At </w:t>
      </w:r>
      <w:r w:rsidR="004A020A">
        <w:rPr>
          <w:iCs/>
        </w:rPr>
        <w:t xml:space="preserve">the beginning of </w:t>
      </w:r>
      <w:r w:rsidR="00C40487">
        <w:rPr>
          <w:iCs/>
        </w:rPr>
        <w:t xml:space="preserve">its </w:t>
      </w:r>
      <w:r w:rsidR="004A020A">
        <w:rPr>
          <w:iCs/>
        </w:rPr>
        <w:t xml:space="preserve">contract, </w:t>
      </w:r>
      <w:r w:rsidRPr="001342C4">
        <w:rPr>
          <w:iCs/>
        </w:rPr>
        <w:t>the Greater Nashua Mental Health Center</w:t>
      </w:r>
      <w:r w:rsidR="004A020A">
        <w:rPr>
          <w:iCs/>
        </w:rPr>
        <w:t xml:space="preserve"> </w:t>
      </w:r>
      <w:r w:rsidR="00180AF0">
        <w:rPr>
          <w:iCs/>
        </w:rPr>
        <w:t xml:space="preserve">allocated </w:t>
      </w:r>
      <w:r w:rsidR="00180AF0" w:rsidRPr="001342C4">
        <w:rPr>
          <w:iCs/>
        </w:rPr>
        <w:t>20</w:t>
      </w:r>
      <w:r w:rsidRPr="001342C4">
        <w:rPr>
          <w:iCs/>
        </w:rPr>
        <w:t xml:space="preserve"> staff members</w:t>
      </w:r>
      <w:r w:rsidR="00305664">
        <w:rPr>
          <w:iCs/>
        </w:rPr>
        <w:t xml:space="preserve">, </w:t>
      </w:r>
      <w:r w:rsidR="00305664" w:rsidRPr="001342C4">
        <w:rPr>
          <w:iCs/>
        </w:rPr>
        <w:t xml:space="preserve">7 of </w:t>
      </w:r>
      <w:r w:rsidR="00B42171">
        <w:rPr>
          <w:iCs/>
        </w:rPr>
        <w:t>whom</w:t>
      </w:r>
      <w:r w:rsidR="00B42171" w:rsidRPr="001342C4">
        <w:rPr>
          <w:iCs/>
        </w:rPr>
        <w:t xml:space="preserve"> </w:t>
      </w:r>
      <w:r w:rsidR="00305664" w:rsidRPr="001342C4">
        <w:rPr>
          <w:iCs/>
        </w:rPr>
        <w:t>were peer support specialists</w:t>
      </w:r>
      <w:r w:rsidR="00305664">
        <w:rPr>
          <w:iCs/>
        </w:rPr>
        <w:t>,</w:t>
      </w:r>
      <w:r w:rsidRPr="001342C4">
        <w:rPr>
          <w:iCs/>
        </w:rPr>
        <w:t xml:space="preserve"> </w:t>
      </w:r>
      <w:r w:rsidR="004A020A">
        <w:rPr>
          <w:iCs/>
        </w:rPr>
        <w:t>to</w:t>
      </w:r>
      <w:r w:rsidRPr="001342C4">
        <w:rPr>
          <w:iCs/>
        </w:rPr>
        <w:t xml:space="preserve"> the CC-NH program. All staff members </w:t>
      </w:r>
      <w:r w:rsidR="00B42171">
        <w:rPr>
          <w:iCs/>
        </w:rPr>
        <w:t>were trained in</w:t>
      </w:r>
      <w:r w:rsidR="00305664">
        <w:rPr>
          <w:iCs/>
        </w:rPr>
        <w:t xml:space="preserve"> least </w:t>
      </w:r>
      <w:r w:rsidRPr="001342C4">
        <w:rPr>
          <w:iCs/>
        </w:rPr>
        <w:t xml:space="preserve">one form of evidenced-based practice (EBP). </w:t>
      </w:r>
      <w:r w:rsidR="00B42171">
        <w:rPr>
          <w:iCs/>
        </w:rPr>
        <w:t>Exhibit 4</w:t>
      </w:r>
      <w:r w:rsidRPr="001342C4">
        <w:rPr>
          <w:iCs/>
        </w:rPr>
        <w:t xml:space="preserve"> show</w:t>
      </w:r>
      <w:r w:rsidR="00B42171">
        <w:rPr>
          <w:iCs/>
        </w:rPr>
        <w:t>s</w:t>
      </w:r>
      <w:r w:rsidRPr="001342C4">
        <w:rPr>
          <w:iCs/>
        </w:rPr>
        <w:t xml:space="preserve"> the types of training and proportion of staff who received EBP training</w:t>
      </w:r>
      <w:r w:rsidR="00B42171">
        <w:rPr>
          <w:iCs/>
        </w:rPr>
        <w:t xml:space="preserve"> prior to or at the onset of the site’s contract</w:t>
      </w:r>
      <w:r w:rsidRPr="001342C4">
        <w:rPr>
          <w:iCs/>
        </w:rPr>
        <w:t>.</w:t>
      </w:r>
    </w:p>
    <w:p w14:paraId="79475C51" w14:textId="77777777" w:rsidR="00486884" w:rsidRPr="00C356C9" w:rsidRDefault="00486884" w:rsidP="008F3C56">
      <w:pPr>
        <w:pStyle w:val="ExhibitTitle"/>
      </w:pPr>
      <w:bookmarkStart w:id="40" w:name="_Toc64988272"/>
      <w:r w:rsidRPr="001342C4">
        <w:t xml:space="preserve">Exhibit </w:t>
      </w:r>
      <w:r w:rsidR="0037671A" w:rsidRPr="001342C4">
        <w:t>4</w:t>
      </w:r>
      <w:r w:rsidRPr="001342C4">
        <w:t>. Evidence-based training</w:t>
      </w:r>
      <w:r w:rsidR="00B42171">
        <w:t>s</w:t>
      </w:r>
      <w:r w:rsidRPr="001342C4">
        <w:t xml:space="preserve"> received by GNMHC staff members</w:t>
      </w:r>
      <w:bookmarkEnd w:id="40"/>
    </w:p>
    <w:p w14:paraId="41AD85BD" w14:textId="77777777" w:rsidR="00486884" w:rsidRDefault="00486884" w:rsidP="00E43419">
      <w:pPr>
        <w:spacing w:after="0"/>
      </w:pPr>
      <w:r>
        <w:rPr>
          <w:noProof/>
        </w:rPr>
        <w:drawing>
          <wp:inline distT="0" distB="0" distL="0" distR="0" wp14:anchorId="4B8689ED" wp14:editId="1C99C914">
            <wp:extent cx="5287010" cy="1552755"/>
            <wp:effectExtent l="0" t="0" r="8890" b="9525"/>
            <wp:docPr id="42" name="Chart 42">
              <a:extLst xmlns:a="http://schemas.openxmlformats.org/drawingml/2006/main">
                <a:ext uri="{FF2B5EF4-FFF2-40B4-BE49-F238E27FC236}">
                  <a16:creationId xmlns:a16="http://schemas.microsoft.com/office/drawing/2014/main" id="{CD4C0158-BA08-41DE-B440-0B45918673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8F0764F" w14:textId="4FDF80F7" w:rsidR="00486884" w:rsidRDefault="00486884" w:rsidP="00486884">
      <w:pPr>
        <w:pStyle w:val="FigureSource"/>
        <w:spacing w:after="0"/>
      </w:pPr>
      <w:r>
        <w:t>Source: Baseline GNMHC CC-NH staff roster</w:t>
      </w:r>
    </w:p>
    <w:p w14:paraId="7BF77595" w14:textId="77777777" w:rsidR="00486884" w:rsidRPr="003609FD" w:rsidRDefault="00486884" w:rsidP="004553B2">
      <w:pPr>
        <w:pStyle w:val="FigureSource"/>
      </w:pPr>
      <w:r>
        <w:t>*Other EBP training</w:t>
      </w:r>
      <w:r w:rsidR="004A020A">
        <w:t>s</w:t>
      </w:r>
      <w:r>
        <w:t xml:space="preserve"> include </w:t>
      </w:r>
      <w:r w:rsidRPr="006B4BFF">
        <w:t>EMDR, TF-CBT, MATCH, HNC, DBT, CPP, Theraplay</w:t>
      </w:r>
      <w:r>
        <w:t xml:space="preserve">, CBT, </w:t>
      </w:r>
      <w:r w:rsidRPr="00FE1778">
        <w:t>Seeking Safety, CBI-SA, MI</w:t>
      </w:r>
      <w:r>
        <w:t>, RENEW</w:t>
      </w:r>
    </w:p>
    <w:p w14:paraId="5F66E0DE" w14:textId="77777777" w:rsidR="003609FD" w:rsidRDefault="003609FD" w:rsidP="00E43419">
      <w:pPr>
        <w:pStyle w:val="Heading3"/>
      </w:pPr>
      <w:bookmarkStart w:id="41" w:name="_Toc64988255"/>
      <w:r>
        <w:lastRenderedPageBreak/>
        <w:t>Granite Pathways</w:t>
      </w:r>
      <w:bookmarkEnd w:id="41"/>
    </w:p>
    <w:p w14:paraId="08CD9BB7" w14:textId="3DCE853D" w:rsidR="00486884" w:rsidRPr="001342C4" w:rsidRDefault="00486884" w:rsidP="00486884">
      <w:pPr>
        <w:rPr>
          <w:iCs/>
        </w:rPr>
      </w:pPr>
      <w:r w:rsidRPr="001342C4">
        <w:rPr>
          <w:iCs/>
        </w:rPr>
        <w:t xml:space="preserve">Granite Pathways targets adolescents (12-17) and young adults (18-25) </w:t>
      </w:r>
      <w:r w:rsidR="006659C4">
        <w:rPr>
          <w:iCs/>
        </w:rPr>
        <w:t xml:space="preserve">with </w:t>
      </w:r>
      <w:r w:rsidRPr="001342C4">
        <w:rPr>
          <w:iCs/>
        </w:rPr>
        <w:t xml:space="preserve">a primary substance use diagnosis. </w:t>
      </w:r>
      <w:r w:rsidR="00C40487">
        <w:rPr>
          <w:iCs/>
        </w:rPr>
        <w:t>It</w:t>
      </w:r>
      <w:r w:rsidR="00C40487" w:rsidRPr="001342C4">
        <w:rPr>
          <w:iCs/>
        </w:rPr>
        <w:t xml:space="preserve"> </w:t>
      </w:r>
      <w:r w:rsidRPr="001342C4">
        <w:rPr>
          <w:iCs/>
        </w:rPr>
        <w:t>provide</w:t>
      </w:r>
      <w:r w:rsidR="00C40487">
        <w:rPr>
          <w:iCs/>
        </w:rPr>
        <w:t>s</w:t>
      </w:r>
      <w:r w:rsidRPr="001342C4">
        <w:rPr>
          <w:iCs/>
        </w:rPr>
        <w:t xml:space="preserve"> assessments</w:t>
      </w:r>
      <w:r w:rsidR="006659C4">
        <w:rPr>
          <w:iCs/>
        </w:rPr>
        <w:t xml:space="preserve"> and</w:t>
      </w:r>
      <w:r w:rsidRPr="001342C4">
        <w:rPr>
          <w:iCs/>
        </w:rPr>
        <w:t xml:space="preserve"> outpatient and intensive outpatient counseling services for individuals with substance use disorders and/or co</w:t>
      </w:r>
      <w:r w:rsidR="006659C4">
        <w:rPr>
          <w:iCs/>
        </w:rPr>
        <w:t>-</w:t>
      </w:r>
      <w:r w:rsidRPr="001342C4">
        <w:rPr>
          <w:iCs/>
        </w:rPr>
        <w:t xml:space="preserve">occurring mental health disorders. </w:t>
      </w:r>
      <w:r w:rsidR="00C40487">
        <w:rPr>
          <w:iCs/>
        </w:rPr>
        <w:t xml:space="preserve">It </w:t>
      </w:r>
      <w:r w:rsidR="006659C4">
        <w:rPr>
          <w:iCs/>
        </w:rPr>
        <w:t>also</w:t>
      </w:r>
      <w:r w:rsidRPr="001342C4">
        <w:rPr>
          <w:iCs/>
        </w:rPr>
        <w:t xml:space="preserve"> provide</w:t>
      </w:r>
      <w:r w:rsidR="00C40487">
        <w:rPr>
          <w:iCs/>
        </w:rPr>
        <w:t>s</w:t>
      </w:r>
      <w:r w:rsidRPr="001342C4">
        <w:rPr>
          <w:iCs/>
        </w:rPr>
        <w:t xml:space="preserve"> case management, referrals to MAT, peer support, parent psychoeducation (focusing on </w:t>
      </w:r>
      <w:r w:rsidR="00305664" w:rsidRPr="000A5034">
        <w:rPr>
          <w:i/>
        </w:rPr>
        <w:t>The S</w:t>
      </w:r>
      <w:r w:rsidRPr="000A5034">
        <w:rPr>
          <w:i/>
        </w:rPr>
        <w:t xml:space="preserve">even </w:t>
      </w:r>
      <w:r w:rsidR="00305664" w:rsidRPr="000A5034">
        <w:rPr>
          <w:i/>
        </w:rPr>
        <w:t>C</w:t>
      </w:r>
      <w:r w:rsidRPr="000A5034">
        <w:rPr>
          <w:i/>
        </w:rPr>
        <w:t>hallenges</w:t>
      </w:r>
      <w:r w:rsidRPr="001342C4">
        <w:rPr>
          <w:iCs/>
        </w:rPr>
        <w:t xml:space="preserve"> as well as parenting techniques</w:t>
      </w:r>
      <w:r w:rsidR="00CC4F3A">
        <w:rPr>
          <w:iCs/>
        </w:rPr>
        <w:t xml:space="preserve"> and</w:t>
      </w:r>
      <w:r w:rsidRPr="001342C4">
        <w:rPr>
          <w:iCs/>
        </w:rPr>
        <w:t xml:space="preserve"> education about substance use disorders), </w:t>
      </w:r>
      <w:r w:rsidR="00B42171">
        <w:rPr>
          <w:iCs/>
        </w:rPr>
        <w:t xml:space="preserve">and </w:t>
      </w:r>
      <w:r w:rsidR="00CC4F3A">
        <w:rPr>
          <w:iCs/>
        </w:rPr>
        <w:t xml:space="preserve">peer-led </w:t>
      </w:r>
      <w:r w:rsidRPr="001342C4">
        <w:rPr>
          <w:iCs/>
        </w:rPr>
        <w:t>parent support groups. Granite Pathways work</w:t>
      </w:r>
      <w:r w:rsidR="00B42171">
        <w:rPr>
          <w:iCs/>
        </w:rPr>
        <w:t>s</w:t>
      </w:r>
      <w:r w:rsidRPr="001342C4">
        <w:rPr>
          <w:iCs/>
        </w:rPr>
        <w:t xml:space="preserve"> closely with DCYF, </w:t>
      </w:r>
      <w:r w:rsidR="006659C4" w:rsidRPr="006659C4">
        <w:rPr>
          <w:iCs/>
        </w:rPr>
        <w:t xml:space="preserve">Juvenile Probation and Parole Officers </w:t>
      </w:r>
      <w:r w:rsidR="006659C4">
        <w:rPr>
          <w:iCs/>
        </w:rPr>
        <w:t>(</w:t>
      </w:r>
      <w:r w:rsidRPr="001342C4">
        <w:rPr>
          <w:iCs/>
        </w:rPr>
        <w:t>JPPOs</w:t>
      </w:r>
      <w:r w:rsidR="006659C4">
        <w:rPr>
          <w:iCs/>
        </w:rPr>
        <w:t>)</w:t>
      </w:r>
      <w:r w:rsidR="00B42171">
        <w:rPr>
          <w:iCs/>
        </w:rPr>
        <w:t>,</w:t>
      </w:r>
      <w:r w:rsidRPr="001342C4">
        <w:rPr>
          <w:iCs/>
        </w:rPr>
        <w:t xml:space="preserve"> and school systems</w:t>
      </w:r>
      <w:r w:rsidR="00B42171">
        <w:rPr>
          <w:iCs/>
        </w:rPr>
        <w:t xml:space="preserve">. </w:t>
      </w:r>
      <w:r w:rsidR="00C40487">
        <w:rPr>
          <w:iCs/>
        </w:rPr>
        <w:t>It</w:t>
      </w:r>
      <w:r w:rsidR="00C40487" w:rsidRPr="001342C4">
        <w:rPr>
          <w:iCs/>
        </w:rPr>
        <w:t xml:space="preserve"> </w:t>
      </w:r>
      <w:r w:rsidRPr="001342C4">
        <w:rPr>
          <w:iCs/>
        </w:rPr>
        <w:t>get</w:t>
      </w:r>
      <w:r w:rsidR="00C40487">
        <w:rPr>
          <w:iCs/>
        </w:rPr>
        <w:t>s</w:t>
      </w:r>
      <w:r w:rsidRPr="001342C4">
        <w:rPr>
          <w:iCs/>
        </w:rPr>
        <w:t xml:space="preserve"> referrals from famil</w:t>
      </w:r>
      <w:r w:rsidR="00B42171">
        <w:rPr>
          <w:iCs/>
        </w:rPr>
        <w:t>ies</w:t>
      </w:r>
      <w:r w:rsidRPr="001342C4">
        <w:rPr>
          <w:iCs/>
        </w:rPr>
        <w:t>, schools, JPPOs</w:t>
      </w:r>
      <w:r w:rsidR="006659C4">
        <w:rPr>
          <w:iCs/>
        </w:rPr>
        <w:t>,</w:t>
      </w:r>
      <w:r w:rsidRPr="001342C4">
        <w:rPr>
          <w:iCs/>
        </w:rPr>
        <w:t xml:space="preserve"> DCYF</w:t>
      </w:r>
      <w:r w:rsidR="00CC4F3A">
        <w:rPr>
          <w:iCs/>
        </w:rPr>
        <w:t>, and</w:t>
      </w:r>
      <w:r w:rsidRPr="001342C4">
        <w:rPr>
          <w:iCs/>
        </w:rPr>
        <w:t xml:space="preserve"> insurance companies.</w:t>
      </w:r>
    </w:p>
    <w:p w14:paraId="52DB60A5" w14:textId="53117C91" w:rsidR="00486884" w:rsidRPr="001342C4" w:rsidRDefault="00CC4F3A" w:rsidP="00486884">
      <w:pPr>
        <w:rPr>
          <w:iCs/>
        </w:rPr>
      </w:pPr>
      <w:r>
        <w:rPr>
          <w:iCs/>
        </w:rPr>
        <w:t>Eight</w:t>
      </w:r>
      <w:r w:rsidR="00486884" w:rsidRPr="001342C4">
        <w:rPr>
          <w:iCs/>
        </w:rPr>
        <w:t xml:space="preserve"> staff members</w:t>
      </w:r>
      <w:r w:rsidR="0030575E">
        <w:rPr>
          <w:iCs/>
        </w:rPr>
        <w:t xml:space="preserve">, none of </w:t>
      </w:r>
      <w:r w:rsidR="00B42171">
        <w:rPr>
          <w:iCs/>
        </w:rPr>
        <w:t xml:space="preserve">whom </w:t>
      </w:r>
      <w:r w:rsidR="0030575E">
        <w:rPr>
          <w:iCs/>
        </w:rPr>
        <w:t>were peer support specialists,</w:t>
      </w:r>
      <w:r w:rsidR="00486884" w:rsidRPr="001342C4">
        <w:rPr>
          <w:iCs/>
        </w:rPr>
        <w:t xml:space="preserve"> worked to provide services in the CC-NH program at the Granite Pathways pilot site. </w:t>
      </w:r>
      <w:r w:rsidR="00C63C18">
        <w:rPr>
          <w:iCs/>
        </w:rPr>
        <w:t xml:space="preserve">Five </w:t>
      </w:r>
      <w:r w:rsidR="00486884" w:rsidRPr="001342C4">
        <w:rPr>
          <w:iCs/>
        </w:rPr>
        <w:t xml:space="preserve">staff members </w:t>
      </w:r>
      <w:r w:rsidR="00B42171">
        <w:rPr>
          <w:iCs/>
        </w:rPr>
        <w:t>were trained in</w:t>
      </w:r>
      <w:r w:rsidR="00B42171" w:rsidRPr="001342C4">
        <w:rPr>
          <w:iCs/>
        </w:rPr>
        <w:t xml:space="preserve"> </w:t>
      </w:r>
      <w:r w:rsidR="0030575E">
        <w:rPr>
          <w:iCs/>
        </w:rPr>
        <w:t xml:space="preserve">at least </w:t>
      </w:r>
      <w:r w:rsidR="00486884" w:rsidRPr="001342C4">
        <w:rPr>
          <w:iCs/>
        </w:rPr>
        <w:t xml:space="preserve">one form of EBP. </w:t>
      </w:r>
      <w:r w:rsidR="00B42171">
        <w:rPr>
          <w:iCs/>
        </w:rPr>
        <w:t>Exhibit 5</w:t>
      </w:r>
      <w:r w:rsidR="00486884" w:rsidRPr="001342C4">
        <w:rPr>
          <w:iCs/>
        </w:rPr>
        <w:t xml:space="preserve"> show</w:t>
      </w:r>
      <w:r w:rsidR="00B42171">
        <w:rPr>
          <w:iCs/>
        </w:rPr>
        <w:t>s</w:t>
      </w:r>
      <w:r w:rsidR="00486884" w:rsidRPr="001342C4">
        <w:rPr>
          <w:iCs/>
        </w:rPr>
        <w:t xml:space="preserve"> the types of training and proportion of staff who received EBP training</w:t>
      </w:r>
      <w:r w:rsidR="00BA0D61">
        <w:rPr>
          <w:iCs/>
        </w:rPr>
        <w:t xml:space="preserve"> prior to or at the onset of the site’s contract</w:t>
      </w:r>
      <w:r w:rsidR="00486884" w:rsidRPr="001342C4">
        <w:rPr>
          <w:iCs/>
        </w:rPr>
        <w:t>.</w:t>
      </w:r>
    </w:p>
    <w:p w14:paraId="45177761" w14:textId="77777777" w:rsidR="00486884" w:rsidRPr="00C356C9" w:rsidRDefault="00486884" w:rsidP="008F3C56">
      <w:pPr>
        <w:pStyle w:val="ExhibitTitle"/>
      </w:pPr>
      <w:bookmarkStart w:id="42" w:name="_Toc64988273"/>
      <w:r w:rsidRPr="001342C4">
        <w:t xml:space="preserve">Exhibit </w:t>
      </w:r>
      <w:r w:rsidR="0037671A" w:rsidRPr="001342C4">
        <w:t>5</w:t>
      </w:r>
      <w:r w:rsidRPr="001342C4">
        <w:t>. Evidence-based training received by GP staff members</w:t>
      </w:r>
      <w:bookmarkEnd w:id="42"/>
    </w:p>
    <w:p w14:paraId="304B8B1F" w14:textId="77777777" w:rsidR="00486884" w:rsidRDefault="00486884" w:rsidP="008F3C56">
      <w:pPr>
        <w:spacing w:after="0"/>
      </w:pPr>
      <w:r>
        <w:rPr>
          <w:noProof/>
        </w:rPr>
        <w:drawing>
          <wp:inline distT="0" distB="0" distL="0" distR="0" wp14:anchorId="7FE14828" wp14:editId="47A5913F">
            <wp:extent cx="5152390" cy="1554480"/>
            <wp:effectExtent l="0" t="0" r="10160" b="7620"/>
            <wp:docPr id="43" name="Chart 43">
              <a:extLst xmlns:a="http://schemas.openxmlformats.org/drawingml/2006/main">
                <a:ext uri="{FF2B5EF4-FFF2-40B4-BE49-F238E27FC236}">
                  <a16:creationId xmlns:a16="http://schemas.microsoft.com/office/drawing/2014/main" id="{EC38DCB7-9C9C-49FB-ABB4-E8B2F8359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24F7A8" w14:textId="51E77A63" w:rsidR="00486884" w:rsidRDefault="00486884" w:rsidP="00486884">
      <w:pPr>
        <w:pStyle w:val="FigureSource"/>
        <w:spacing w:after="0"/>
      </w:pPr>
      <w:r>
        <w:t xml:space="preserve">Source: Baseline </w:t>
      </w:r>
      <w:r w:rsidR="005853A2">
        <w:t>GP</w:t>
      </w:r>
      <w:r>
        <w:t xml:space="preserve"> CC-NH staff </w:t>
      </w:r>
      <w:r w:rsidR="00187711">
        <w:t>roster</w:t>
      </w:r>
    </w:p>
    <w:p w14:paraId="6E3DC83D" w14:textId="77777777" w:rsidR="00486884" w:rsidRPr="003609FD" w:rsidRDefault="00486884" w:rsidP="004553B2">
      <w:pPr>
        <w:pStyle w:val="FigureSource"/>
      </w:pPr>
      <w:r>
        <w:t>*</w:t>
      </w:r>
      <w:r w:rsidRPr="00566B54">
        <w:t xml:space="preserve">Other EBP training include </w:t>
      </w:r>
      <w:r w:rsidR="0037671A" w:rsidRPr="00566B54">
        <w:t>CBT, DBT</w:t>
      </w:r>
      <w:r w:rsidRPr="00566B54">
        <w:t>, MI</w:t>
      </w:r>
    </w:p>
    <w:p w14:paraId="5337AEB1" w14:textId="77777777" w:rsidR="00593E04" w:rsidRDefault="00593E04" w:rsidP="00E43419">
      <w:pPr>
        <w:pStyle w:val="Heading3"/>
        <w:spacing w:before="100" w:beforeAutospacing="1"/>
      </w:pPr>
      <w:bookmarkStart w:id="43" w:name="_Toc64988256"/>
      <w:r>
        <w:t>Implementation Progress and Fidelity</w:t>
      </w:r>
      <w:bookmarkEnd w:id="43"/>
    </w:p>
    <w:p w14:paraId="1A3590BF" w14:textId="384F0B9F" w:rsidR="00EB5FB5" w:rsidRDefault="00EB5FB5" w:rsidP="00EB5FB5">
      <w:r>
        <w:t xml:space="preserve">The pilot sites began enrolling clients into </w:t>
      </w:r>
      <w:r w:rsidRPr="00F27256">
        <w:rPr>
          <w:i/>
        </w:rPr>
        <w:t>The Seven Challenges</w:t>
      </w:r>
      <w:r>
        <w:t xml:space="preserve"> in August 2019, after attending an in-person, two-day training provided by the organization that developed the EBP. Supervisors at the sites also attended a leader training that qualified them to supervise the group leaders, ensure fidelity, and train new staff. A further training was conducted to familiarize the sites with the </w:t>
      </w:r>
      <w:r w:rsidR="00846811">
        <w:t>EBP’s fidelity checklist. The sites have been conducting regular phone</w:t>
      </w:r>
      <w:r w:rsidR="00C40487">
        <w:t xml:space="preserve"> </w:t>
      </w:r>
      <w:r w:rsidR="00846811">
        <w:t>check-ins with the developer to discuss cases and smooth out challenges. The CoP has also provided a platform for the sites to discuss their cases and problem-solve in in-person meetings.</w:t>
      </w:r>
    </w:p>
    <w:p w14:paraId="13FEBE10" w14:textId="77777777" w:rsidR="00593E04" w:rsidRDefault="00BA0D61" w:rsidP="00DE0440">
      <w:r>
        <w:t>Until March 2020, t</w:t>
      </w:r>
      <w:r w:rsidR="00846811">
        <w:t xml:space="preserve">he most notable barrier to fidelity </w:t>
      </w:r>
      <w:r>
        <w:t>was</w:t>
      </w:r>
      <w:r w:rsidR="00846811">
        <w:t xml:space="preserve"> the treatment of youth referred to the pilot sites by juvenile justice authorities. For these youth, abstinence from substances is typically a condition of their parole. </w:t>
      </w:r>
      <w:r w:rsidR="00846811" w:rsidRPr="00F27256">
        <w:rPr>
          <w:i/>
        </w:rPr>
        <w:t>The Seven Challenges</w:t>
      </w:r>
      <w:r w:rsidR="00846811">
        <w:t xml:space="preserve"> approach, on the other hand</w:t>
      </w:r>
      <w:r w:rsidR="000C7329">
        <w:t>,</w:t>
      </w:r>
      <w:r w:rsidR="00846811">
        <w:t xml:space="preserve"> </w:t>
      </w:r>
      <w:r>
        <w:t>is a harm reduction program. T</w:t>
      </w:r>
      <w:r w:rsidR="00846811">
        <w:t xml:space="preserve">he counselor’s role </w:t>
      </w:r>
      <w:r>
        <w:t xml:space="preserve">is defined </w:t>
      </w:r>
      <w:r w:rsidR="00846811">
        <w:t xml:space="preserve">as facilitating healthy decisions while refraining from “policing” abstinence. This challenge was discussed at one of the check-in meetings with the developer. One resolution that was recommended was for the counselor to emphasize that abiding by the terms of their parole was one of the important life decisions that </w:t>
      </w:r>
      <w:r w:rsidR="00846811">
        <w:lastRenderedPageBreak/>
        <w:t>faced these youth and that the counselor would help their clients make good decisions in this area.</w:t>
      </w:r>
    </w:p>
    <w:p w14:paraId="2ECE3B03" w14:textId="4B7D9C91" w:rsidR="00BA0D61" w:rsidRDefault="004859C0" w:rsidP="00DE0440">
      <w:r>
        <w:t>The COVID-19 pandemic posed serious challenges for the program. Collaborative journaling, one of the program’s core elements, requires the participant to keep a physical journal in a prespecified format. The counselor regularly reviews and comments on the journal and returns it to the participant. Until the pandemic, there were no virtual journaling procedures designed by the developer. Although the group and individual sessions could be conducted remotely, the journaling function was disrupted at the beginning of the pandemic. Th</w:t>
      </w:r>
      <w:r w:rsidR="00E210F0">
        <w:t>is</w:t>
      </w:r>
      <w:r>
        <w:t xml:space="preserve"> issue </w:t>
      </w:r>
      <w:r w:rsidR="00E210F0">
        <w:t>is being addressed</w:t>
      </w:r>
      <w:r>
        <w:t xml:space="preserve"> in consultation with the developer</w:t>
      </w:r>
      <w:r w:rsidR="001A05B8">
        <w:t xml:space="preserve">; a new digital version of the journal template was developed to enable virtual collaboration and feedback between the participant and the counselor. </w:t>
      </w:r>
      <w:r w:rsidR="00E210F0">
        <w:t xml:space="preserve">At the time of this writing, the developer was working through the copyright implications of this version to enable its use in the field. </w:t>
      </w:r>
    </w:p>
    <w:p w14:paraId="38BABBB4" w14:textId="022856CA" w:rsidR="008442C6" w:rsidRPr="00E20A86" w:rsidRDefault="008442C6" w:rsidP="00DE0440">
      <w:pPr>
        <w:rPr>
          <w:iCs/>
        </w:rPr>
      </w:pPr>
      <w:r>
        <w:t xml:space="preserve">The pilot sites were scheduled to have in-person site visits by the developer of </w:t>
      </w:r>
      <w:r w:rsidRPr="00F27256">
        <w:rPr>
          <w:i/>
        </w:rPr>
        <w:t>The Seven Challenges</w:t>
      </w:r>
      <w:r>
        <w:rPr>
          <w:i/>
        </w:rPr>
        <w:t xml:space="preserve"> </w:t>
      </w:r>
      <w:r w:rsidRPr="0050762F">
        <w:rPr>
          <w:iCs/>
        </w:rPr>
        <w:t>in March.</w:t>
      </w:r>
      <w:r>
        <w:rPr>
          <w:i/>
        </w:rPr>
        <w:t xml:space="preserve"> </w:t>
      </w:r>
      <w:r>
        <w:rPr>
          <w:iCs/>
        </w:rPr>
        <w:t xml:space="preserve">Due </w:t>
      </w:r>
      <w:r w:rsidR="000D7D71">
        <w:rPr>
          <w:iCs/>
        </w:rPr>
        <w:t xml:space="preserve">to </w:t>
      </w:r>
      <w:r>
        <w:rPr>
          <w:iCs/>
        </w:rPr>
        <w:t xml:space="preserve">the pandemic, however, the developer instead held virtual site visits in June 2020. The </w:t>
      </w:r>
      <w:r w:rsidR="00187711">
        <w:rPr>
          <w:iCs/>
        </w:rPr>
        <w:t>evaluation team</w:t>
      </w:r>
      <w:r>
        <w:rPr>
          <w:iCs/>
        </w:rPr>
        <w:t xml:space="preserve"> is working with pilot sites to obtain the documentation prepared for the visit (fidelity checklists and client satisfaction forms) and will quantify the fidelity checklist to obtain fidelity scores for the sites.</w:t>
      </w:r>
    </w:p>
    <w:p w14:paraId="6EBFCB85" w14:textId="77777777" w:rsidR="003A2208" w:rsidRDefault="003A2208" w:rsidP="008C4945">
      <w:pPr>
        <w:pStyle w:val="Heading2"/>
      </w:pPr>
      <w:bookmarkStart w:id="44" w:name="_Toc64988257"/>
      <w:r>
        <w:t xml:space="preserve">Training </w:t>
      </w:r>
      <w:r w:rsidR="001A05B8">
        <w:t>Satisfaction</w:t>
      </w:r>
      <w:bookmarkEnd w:id="44"/>
      <w:r>
        <w:t xml:space="preserve"> </w:t>
      </w:r>
    </w:p>
    <w:p w14:paraId="4EEF9312" w14:textId="609638E1" w:rsidR="00675AAD" w:rsidRDefault="00675AAD" w:rsidP="00675AAD">
      <w:r>
        <w:t xml:space="preserve">The </w:t>
      </w:r>
      <w:r w:rsidR="001A05B8">
        <w:t xml:space="preserve">training </w:t>
      </w:r>
      <w:r>
        <w:t xml:space="preserve">satisfaction survey was administered at </w:t>
      </w:r>
      <w:r w:rsidR="00E20A86">
        <w:t xml:space="preserve">six </w:t>
      </w:r>
      <w:r>
        <w:t>trainings</w:t>
      </w:r>
      <w:r w:rsidR="00E20A86">
        <w:t>, one of which occurred</w:t>
      </w:r>
      <w:r>
        <w:t xml:space="preserve"> </w:t>
      </w:r>
      <w:r w:rsidR="000D7D71">
        <w:t>in 2020</w:t>
      </w:r>
      <w:r>
        <w:t>:</w:t>
      </w:r>
    </w:p>
    <w:p w14:paraId="57E9E6CA" w14:textId="382E5C7E" w:rsidR="00675AAD" w:rsidRDefault="00675AAD" w:rsidP="00675AAD">
      <w:pPr>
        <w:pStyle w:val="ListParagraph"/>
        <w:numPr>
          <w:ilvl w:val="0"/>
          <w:numId w:val="14"/>
        </w:numPr>
      </w:pPr>
      <w:r>
        <w:t>the CANS training on July 17</w:t>
      </w:r>
      <w:r w:rsidR="003706D2">
        <w:t>, 2019</w:t>
      </w:r>
      <w:r>
        <w:t>;</w:t>
      </w:r>
    </w:p>
    <w:p w14:paraId="4347B7A3" w14:textId="361C2694" w:rsidR="00675AAD" w:rsidRDefault="00675AAD" w:rsidP="00675AAD">
      <w:pPr>
        <w:pStyle w:val="ListParagraph"/>
        <w:numPr>
          <w:ilvl w:val="0"/>
          <w:numId w:val="14"/>
        </w:numPr>
      </w:pPr>
      <w:r w:rsidRPr="00675AAD">
        <w:rPr>
          <w:i/>
        </w:rPr>
        <w:t>The Seven Challenges</w:t>
      </w:r>
      <w:r>
        <w:t xml:space="preserve"> training, held July 24</w:t>
      </w:r>
      <w:r w:rsidR="008F3C56">
        <w:t>-</w:t>
      </w:r>
      <w:r>
        <w:t>26</w:t>
      </w:r>
      <w:r w:rsidR="003706D2">
        <w:t>, 2019</w:t>
      </w:r>
      <w:r>
        <w:t>;</w:t>
      </w:r>
    </w:p>
    <w:p w14:paraId="315CC367" w14:textId="46AAFD04" w:rsidR="00675AAD" w:rsidRDefault="00675AAD" w:rsidP="00675AAD">
      <w:pPr>
        <w:pStyle w:val="ListParagraph"/>
        <w:numPr>
          <w:ilvl w:val="0"/>
          <w:numId w:val="14"/>
        </w:numPr>
      </w:pPr>
      <w:r>
        <w:t>the CLAS training on September 12</w:t>
      </w:r>
      <w:r w:rsidR="003706D2">
        <w:t>, 2019</w:t>
      </w:r>
      <w:r>
        <w:t>;</w:t>
      </w:r>
    </w:p>
    <w:p w14:paraId="4EC1226E" w14:textId="24E7B55D" w:rsidR="00675AAD" w:rsidRDefault="00675AAD" w:rsidP="00675AAD">
      <w:pPr>
        <w:pStyle w:val="ListParagraph"/>
        <w:numPr>
          <w:ilvl w:val="0"/>
          <w:numId w:val="14"/>
        </w:numPr>
      </w:pPr>
      <w:r w:rsidRPr="00675AAD">
        <w:rPr>
          <w:i/>
        </w:rPr>
        <w:t>The Seven Challenges</w:t>
      </w:r>
      <w:r>
        <w:t xml:space="preserve"> Leader</w:t>
      </w:r>
      <w:r w:rsidR="009A03B9">
        <w:t xml:space="preserve"> Training</w:t>
      </w:r>
      <w:r>
        <w:t xml:space="preserve">, held October </w:t>
      </w:r>
      <w:r w:rsidR="008F3C56">
        <w:t>10-11</w:t>
      </w:r>
      <w:r w:rsidR="003706D2">
        <w:t>, 2019</w:t>
      </w:r>
      <w:r>
        <w:t>;</w:t>
      </w:r>
    </w:p>
    <w:p w14:paraId="6252B1E5" w14:textId="7D8CCF9F" w:rsidR="00E20A86" w:rsidRDefault="00675AAD" w:rsidP="00675AAD">
      <w:pPr>
        <w:pStyle w:val="ListParagraph"/>
        <w:numPr>
          <w:ilvl w:val="0"/>
          <w:numId w:val="14"/>
        </w:numPr>
      </w:pPr>
      <w:r>
        <w:t>the ANSA training on November 26</w:t>
      </w:r>
      <w:r w:rsidR="003706D2">
        <w:t>, 2019</w:t>
      </w:r>
      <w:r w:rsidR="00E20A86">
        <w:t xml:space="preserve">; and </w:t>
      </w:r>
    </w:p>
    <w:p w14:paraId="197F9987" w14:textId="665A7984" w:rsidR="00675AAD" w:rsidRDefault="00E20A86" w:rsidP="00675AAD">
      <w:pPr>
        <w:pStyle w:val="ListParagraph"/>
        <w:numPr>
          <w:ilvl w:val="0"/>
          <w:numId w:val="14"/>
        </w:numPr>
      </w:pPr>
      <w:r>
        <w:t>the R</w:t>
      </w:r>
      <w:r w:rsidR="003706D2">
        <w:t>1</w:t>
      </w:r>
      <w:r>
        <w:t xml:space="preserve"> Discovery Card training on January</w:t>
      </w:r>
      <w:r w:rsidR="003706D2">
        <w:t xml:space="preserve"> 14</w:t>
      </w:r>
      <w:r>
        <w:t>, 2020</w:t>
      </w:r>
      <w:r w:rsidR="00675AAD">
        <w:t>.</w:t>
      </w:r>
    </w:p>
    <w:p w14:paraId="4F3182C5" w14:textId="77777777" w:rsidR="00A64714" w:rsidRDefault="00A64714" w:rsidP="00E43419">
      <w:pPr>
        <w:spacing w:before="100" w:beforeAutospacing="1"/>
      </w:pPr>
      <w:r>
        <w:t>The following are selected results from the satisfaction surveys:</w:t>
      </w:r>
    </w:p>
    <w:p w14:paraId="39729848" w14:textId="77777777" w:rsidR="00A64714" w:rsidRDefault="00C75F62" w:rsidP="00C75F62">
      <w:pPr>
        <w:pStyle w:val="ListParagraph"/>
        <w:numPr>
          <w:ilvl w:val="0"/>
          <w:numId w:val="15"/>
        </w:numPr>
      </w:pPr>
      <w:r>
        <w:t xml:space="preserve">8 clinical staff members from the pilot sites were trained and are now proficient in administering the evidence-based CANS assessment tool. </w:t>
      </w:r>
      <w:r w:rsidR="00A64714">
        <w:t xml:space="preserve">Of the 8 people who </w:t>
      </w:r>
      <w:r>
        <w:t>attended this</w:t>
      </w:r>
      <w:r w:rsidR="00A64714">
        <w:t xml:space="preserve"> training, 100% were ‘Very Satisfied’ with the overall training experience and 62.5% rated the information received from the instructor as ‘Very Useful’, while the remaining 37.5% rated the information as ‘Useful’.</w:t>
      </w:r>
    </w:p>
    <w:p w14:paraId="7C48DE64" w14:textId="77777777" w:rsidR="00A64714" w:rsidRDefault="00A64714" w:rsidP="00C75F62">
      <w:pPr>
        <w:pStyle w:val="ListParagraph"/>
        <w:numPr>
          <w:ilvl w:val="0"/>
          <w:numId w:val="15"/>
        </w:numPr>
      </w:pPr>
      <w:r>
        <w:t xml:space="preserve">Of the </w:t>
      </w:r>
      <w:r w:rsidR="00C75F62">
        <w:t xml:space="preserve">total </w:t>
      </w:r>
      <w:r>
        <w:t xml:space="preserve">33 people who took </w:t>
      </w:r>
      <w:r w:rsidRPr="00187621">
        <w:rPr>
          <w:i/>
        </w:rPr>
        <w:t>The Seven Challenges</w:t>
      </w:r>
      <w:r>
        <w:t xml:space="preserve"> training, 87.9% were ‘Satisfied’ or ‘Very Satisfied’ with the overall training experience. Almost 10% of participants thought the information received was ‘Somewhat Useful’, while almost 84% of participants found the information ‘Very Useful’.</w:t>
      </w:r>
    </w:p>
    <w:p w14:paraId="1288932C" w14:textId="7E11041A" w:rsidR="00A64714" w:rsidRDefault="00A64714" w:rsidP="00C75F62">
      <w:pPr>
        <w:pStyle w:val="ListParagraph"/>
        <w:numPr>
          <w:ilvl w:val="0"/>
          <w:numId w:val="15"/>
        </w:numPr>
      </w:pPr>
      <w:r>
        <w:t xml:space="preserve">Of the 9 people who participated in the CLAS training, 89% were ‘Very Satisfied’ with the overall training experience, while the remaining 11% were ‘Satisfied’ with their </w:t>
      </w:r>
      <w:r>
        <w:lastRenderedPageBreak/>
        <w:t>experience. Similarly, 11% though</w:t>
      </w:r>
      <w:r w:rsidR="00D16FED">
        <w:t>t</w:t>
      </w:r>
      <w:r>
        <w:t xml:space="preserve"> the information was ‘Somewhat Useful’ and 89% thought the information was ‘Very Useful’.</w:t>
      </w:r>
    </w:p>
    <w:p w14:paraId="1C82C7BE" w14:textId="34EA40F3" w:rsidR="00C75F62" w:rsidRDefault="00A64714" w:rsidP="00A64714">
      <w:pPr>
        <w:pStyle w:val="ListParagraph"/>
        <w:numPr>
          <w:ilvl w:val="0"/>
          <w:numId w:val="15"/>
        </w:numPr>
      </w:pPr>
      <w:r>
        <w:t>Of the 17 people who took</w:t>
      </w:r>
      <w:r w:rsidR="007E31B2">
        <w:t xml:space="preserve"> </w:t>
      </w:r>
      <w:r w:rsidR="00F27256" w:rsidRPr="00187621">
        <w:rPr>
          <w:i/>
        </w:rPr>
        <w:t>The Seven Challenges</w:t>
      </w:r>
      <w:r w:rsidR="00F27256">
        <w:t xml:space="preserve"> Leader </w:t>
      </w:r>
      <w:r>
        <w:t>training, 82.4% were ‘Very Satisfied’ with their overall training experience and 94.1% found the information they received from the instructor ‘Very Useful’.</w:t>
      </w:r>
      <w:r w:rsidR="007E31B2">
        <w:t xml:space="preserve"> A</w:t>
      </w:r>
      <w:r w:rsidR="007E31B2" w:rsidRPr="007E31B2">
        <w:t xml:space="preserve">s part of </w:t>
      </w:r>
      <w:r w:rsidR="007E0710">
        <w:t>CC-NH’s</w:t>
      </w:r>
      <w:r w:rsidR="007E31B2" w:rsidRPr="007E31B2">
        <w:t xml:space="preserve"> contract with the distributor, CC-NH has access to </w:t>
      </w:r>
      <w:r w:rsidR="007E31B2" w:rsidRPr="007E0710">
        <w:rPr>
          <w:i/>
        </w:rPr>
        <w:t>The Seven Challenges</w:t>
      </w:r>
      <w:r w:rsidR="007E31B2" w:rsidRPr="007E31B2">
        <w:t xml:space="preserve"> online training </w:t>
      </w:r>
      <w:r w:rsidR="003725C2" w:rsidRPr="007E31B2">
        <w:t>materials, which</w:t>
      </w:r>
      <w:r w:rsidR="007E31B2" w:rsidRPr="007E31B2">
        <w:t xml:space="preserve"> can be used by newly hired staff to further train themselves in implementing the EBP.</w:t>
      </w:r>
    </w:p>
    <w:p w14:paraId="603585CF" w14:textId="77777777" w:rsidR="007E0710" w:rsidRDefault="006977DE" w:rsidP="00A64714">
      <w:pPr>
        <w:pStyle w:val="ListParagraph"/>
        <w:numPr>
          <w:ilvl w:val="0"/>
          <w:numId w:val="15"/>
        </w:numPr>
      </w:pPr>
      <w:r>
        <w:t xml:space="preserve">6 members of the CC-NH project team, including </w:t>
      </w:r>
      <w:r w:rsidR="0096550A">
        <w:t>4 clinical staff</w:t>
      </w:r>
      <w:r w:rsidR="008722A7">
        <w:t>, attended the training for the evidence-based ANSA assessment tool. All trainees were ‘Satisfied’ or ‘Very Satisfied’ with the overall training experience</w:t>
      </w:r>
      <w:r w:rsidR="000F2D3A">
        <w:t>, and 80.0% found the information they received from the instructor ‘Very Useful’, while 20.0% found the information ‘Somewhat Useful’.</w:t>
      </w:r>
    </w:p>
    <w:p w14:paraId="005B427A" w14:textId="77777777" w:rsidR="003706D2" w:rsidRDefault="003706D2" w:rsidP="00A64714">
      <w:pPr>
        <w:pStyle w:val="ListParagraph"/>
        <w:numPr>
          <w:ilvl w:val="0"/>
          <w:numId w:val="15"/>
        </w:numPr>
      </w:pPr>
      <w:r>
        <w:t xml:space="preserve">17 attendees took part in the R1 Discovery Cards training but only 6 completed the training satisfaction survey. </w:t>
      </w:r>
      <w:r w:rsidRPr="003706D2">
        <w:t>All 6 attendees were ‘Satisfied’ or ‘Very Satisfied’ with the overall training experience and found the information they received from the instructor to be ‘Useful’ or ‘Very Useful’.</w:t>
      </w:r>
    </w:p>
    <w:p w14:paraId="4811E17E" w14:textId="77777777" w:rsidR="008B27D3" w:rsidRDefault="007A50ED" w:rsidP="007E1C46">
      <w:pPr>
        <w:pStyle w:val="Heading1"/>
        <w:pageBreakBefore/>
        <w:spacing w:before="100" w:after="100"/>
      </w:pPr>
      <w:bookmarkStart w:id="45" w:name="_Toc64988258"/>
      <w:r>
        <w:lastRenderedPageBreak/>
        <w:t>Client-Level Analysis Results</w:t>
      </w:r>
      <w:bookmarkEnd w:id="45"/>
    </w:p>
    <w:p w14:paraId="710467D4" w14:textId="6DD74DA8" w:rsidR="005B5FE8" w:rsidRDefault="00397282" w:rsidP="00144C8D">
      <w:r>
        <w:t>Exhibits 6 and 7 display the enrollment progress and type of available data, respectively. Enrollments showed a steep increase through January 2020, slightly slowed down through February 2020, and at a plateau between March and June 2020. As the sites worked through the challenges posed by the pandemic</w:t>
      </w:r>
      <w:r w:rsidR="00DF290D">
        <w:t>,</w:t>
      </w:r>
      <w:r>
        <w:t xml:space="preserve"> enrollments slowly but gradually increased between June and November</w:t>
      </w:r>
      <w:r w:rsidR="00105942">
        <w:t>.</w:t>
      </w:r>
    </w:p>
    <w:p w14:paraId="51101C10" w14:textId="43D4D53C" w:rsidR="000B111D" w:rsidRPr="00BC6E34" w:rsidRDefault="00DE0440" w:rsidP="008F3C56">
      <w:pPr>
        <w:pStyle w:val="ExhibitTitle"/>
      </w:pPr>
      <w:bookmarkStart w:id="46" w:name="_Toc64988274"/>
      <w:r w:rsidRPr="00BC6E34">
        <w:t xml:space="preserve">Exhibit </w:t>
      </w:r>
      <w:r w:rsidR="00B2442C">
        <w:t>6</w:t>
      </w:r>
      <w:r w:rsidR="000B111D" w:rsidRPr="00BC6E34">
        <w:t xml:space="preserve">. </w:t>
      </w:r>
      <w:r w:rsidR="0095682E">
        <w:t>Cumulative enrollment/</w:t>
      </w:r>
      <w:r w:rsidR="006D2507" w:rsidRPr="00BC6E34">
        <w:t>intake interviews</w:t>
      </w:r>
      <w:bookmarkEnd w:id="46"/>
    </w:p>
    <w:p w14:paraId="721168F4" w14:textId="77777777" w:rsidR="00A91916" w:rsidRDefault="00A91916" w:rsidP="00E43419">
      <w:pPr>
        <w:spacing w:after="0"/>
        <w:ind w:left="-540"/>
        <w:rPr>
          <w:lang w:eastAsia="ja-JP"/>
        </w:rPr>
      </w:pPr>
      <w:r>
        <w:rPr>
          <w:noProof/>
        </w:rPr>
        <w:drawing>
          <wp:inline distT="0" distB="0" distL="0" distR="0" wp14:anchorId="370E91FA" wp14:editId="174A993B">
            <wp:extent cx="5943600" cy="2622430"/>
            <wp:effectExtent l="0" t="0" r="0" b="6985"/>
            <wp:docPr id="30" name="Chart 30">
              <a:extLst xmlns:a="http://schemas.openxmlformats.org/drawingml/2006/main">
                <a:ext uri="{FF2B5EF4-FFF2-40B4-BE49-F238E27FC236}">
                  <a16:creationId xmlns:a16="http://schemas.microsoft.com/office/drawing/2014/main" id="{1E58AA36-C13A-405F-A372-794394A7F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F43BFF" w14:textId="77777777" w:rsidR="000B111D" w:rsidRDefault="000B111D" w:rsidP="00E43419">
      <w:pPr>
        <w:pStyle w:val="FigureSource"/>
        <w:ind w:left="-270"/>
      </w:pPr>
      <w:r>
        <w:t>Source: P</w:t>
      </w:r>
      <w:r w:rsidRPr="000879DE">
        <w:t xml:space="preserve">articipant-level data received through </w:t>
      </w:r>
      <w:r w:rsidR="00A91916">
        <w:t>November 30, 2020</w:t>
      </w:r>
    </w:p>
    <w:p w14:paraId="54AE7A14" w14:textId="2F05B49D" w:rsidR="007A50ED" w:rsidRPr="00BC6E34" w:rsidRDefault="007A50ED" w:rsidP="008F3C56">
      <w:pPr>
        <w:pStyle w:val="ExhibitTitle"/>
      </w:pPr>
      <w:bookmarkStart w:id="47" w:name="_Toc64988275"/>
      <w:r w:rsidRPr="00BC6E34">
        <w:t xml:space="preserve">Exhibit </w:t>
      </w:r>
      <w:r w:rsidR="00B2442C">
        <w:t>7</w:t>
      </w:r>
      <w:r w:rsidRPr="00BC6E34">
        <w:t xml:space="preserve">. Interview </w:t>
      </w:r>
      <w:r w:rsidR="006D2507" w:rsidRPr="00BC6E34">
        <w:t>type</w:t>
      </w:r>
      <w:bookmarkEnd w:id="47"/>
      <w:r w:rsidR="006D2507" w:rsidRPr="00BC6E34">
        <w:t xml:space="preserve">  </w:t>
      </w:r>
    </w:p>
    <w:p w14:paraId="448E464E" w14:textId="77777777" w:rsidR="00F0643C" w:rsidRDefault="00A91916" w:rsidP="0036137D">
      <w:pPr>
        <w:spacing w:after="0"/>
      </w:pPr>
      <w:r>
        <w:rPr>
          <w:noProof/>
        </w:rPr>
        <w:drawing>
          <wp:inline distT="0" distB="0" distL="0" distR="0" wp14:anchorId="1B51E17F" wp14:editId="36C31A21">
            <wp:extent cx="3985404" cy="1733910"/>
            <wp:effectExtent l="0" t="0" r="0" b="0"/>
            <wp:docPr id="1" name="Chart 1">
              <a:extLst xmlns:a="http://schemas.openxmlformats.org/drawingml/2006/main">
                <a:ext uri="{FF2B5EF4-FFF2-40B4-BE49-F238E27FC236}">
                  <a16:creationId xmlns:a16="http://schemas.microsoft.com/office/drawing/2014/main" id="{9ADF55D9-C765-4503-BF18-60EF8A998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2BED8A" w14:textId="77777777" w:rsidR="00F0643C" w:rsidRDefault="00A91916" w:rsidP="00A91916">
      <w:pPr>
        <w:pStyle w:val="FigureSource"/>
      </w:pPr>
      <w:r>
        <w:t>Source: P</w:t>
      </w:r>
      <w:r w:rsidRPr="000879DE">
        <w:t xml:space="preserve">articipant-level data received through </w:t>
      </w:r>
      <w:r>
        <w:t>November 30, 2020</w:t>
      </w:r>
    </w:p>
    <w:p w14:paraId="2D447A63" w14:textId="77777777" w:rsidR="00F0643C" w:rsidRDefault="00F0643C" w:rsidP="00F0643C">
      <w:pPr>
        <w:pStyle w:val="Heading2"/>
      </w:pPr>
      <w:bookmarkStart w:id="48" w:name="_Toc64988259"/>
      <w:r>
        <w:t>Client Characteristics</w:t>
      </w:r>
      <w:bookmarkEnd w:id="48"/>
    </w:p>
    <w:p w14:paraId="3717E4BC" w14:textId="77777777" w:rsidR="001D1A0E" w:rsidRDefault="008D7468" w:rsidP="001D1A0E">
      <w:r>
        <w:t>Exhibits 8</w:t>
      </w:r>
      <w:r w:rsidR="00AD0920">
        <w:t>a</w:t>
      </w:r>
      <w:r>
        <w:t xml:space="preserve"> through 11 show the sociodemographic characteristics, clinical diagnoses, housing, employment and educational status, and location of the participants at intake. </w:t>
      </w:r>
      <w:r w:rsidR="00B91983">
        <w:t xml:space="preserve">Among the </w:t>
      </w:r>
      <w:r w:rsidR="006365E8">
        <w:t xml:space="preserve">enrolled </w:t>
      </w:r>
      <w:r>
        <w:t>youth</w:t>
      </w:r>
      <w:r w:rsidR="00B91983">
        <w:t xml:space="preserve">, 57% are male, 93% are </w:t>
      </w:r>
      <w:r w:rsidR="006365E8">
        <w:t xml:space="preserve">between </w:t>
      </w:r>
      <w:r w:rsidR="00B91983">
        <w:t xml:space="preserve">ages 13 </w:t>
      </w:r>
      <w:r w:rsidR="006365E8">
        <w:t xml:space="preserve">and </w:t>
      </w:r>
      <w:r w:rsidR="00B91983">
        <w:t>17, 82% are non-Hispanic/Latinx, 88% are white, and 70% identify as heterosexual</w:t>
      </w:r>
      <w:r w:rsidR="00AD0920">
        <w:t xml:space="preserve"> (Exhibit 8a)</w:t>
      </w:r>
      <w:r w:rsidR="00B91983">
        <w:t>.</w:t>
      </w:r>
      <w:r w:rsidR="00FF4C1C">
        <w:t xml:space="preserve"> </w:t>
      </w:r>
    </w:p>
    <w:p w14:paraId="2AAEBFB0" w14:textId="2D5C7D12" w:rsidR="000879DE" w:rsidRPr="00BC6E34" w:rsidRDefault="00DE0440" w:rsidP="008F3C56">
      <w:pPr>
        <w:pStyle w:val="ExhibitTitle"/>
      </w:pPr>
      <w:bookmarkStart w:id="49" w:name="_Toc64988276"/>
      <w:r w:rsidRPr="00BC6E34">
        <w:lastRenderedPageBreak/>
        <w:t xml:space="preserve">Exhibit </w:t>
      </w:r>
      <w:r w:rsidR="00B2442C">
        <w:t>8</w:t>
      </w:r>
      <w:r w:rsidR="00CE7869">
        <w:t>a</w:t>
      </w:r>
      <w:r w:rsidR="000879DE" w:rsidRPr="00BC6E34">
        <w:t xml:space="preserve">. Characteristics of </w:t>
      </w:r>
      <w:r w:rsidR="0095682E" w:rsidRPr="00BC6E34">
        <w:t>clients served</w:t>
      </w:r>
      <w:bookmarkEnd w:id="49"/>
    </w:p>
    <w:tbl>
      <w:tblPr>
        <w:tblStyle w:val="GridTable4-Accent51"/>
        <w:tblW w:w="0" w:type="auto"/>
        <w:tblLook w:val="04A0" w:firstRow="1" w:lastRow="0" w:firstColumn="1" w:lastColumn="0" w:noHBand="0" w:noVBand="1"/>
      </w:tblPr>
      <w:tblGrid>
        <w:gridCol w:w="3955"/>
        <w:gridCol w:w="1170"/>
        <w:gridCol w:w="1080"/>
      </w:tblGrid>
      <w:tr w:rsidR="000879DE" w:rsidRPr="0036137D" w14:paraId="4CEF8104" w14:textId="77777777" w:rsidTr="000879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0CFC900B" w14:textId="77777777" w:rsidR="000879DE" w:rsidRPr="0036137D" w:rsidRDefault="000879DE" w:rsidP="000879DE">
            <w:pPr>
              <w:rPr>
                <w:rFonts w:asciiTheme="majorHAnsi" w:hAnsiTheme="majorHAnsi"/>
                <w:color w:val="FFFFFF" w:themeColor="background1"/>
                <w:sz w:val="22"/>
                <w:szCs w:val="22"/>
              </w:rPr>
            </w:pPr>
          </w:p>
        </w:tc>
        <w:tc>
          <w:tcPr>
            <w:tcW w:w="1170" w:type="dxa"/>
          </w:tcPr>
          <w:p w14:paraId="502EA5F3" w14:textId="77777777" w:rsidR="000879DE" w:rsidRPr="0036137D" w:rsidRDefault="000879DE" w:rsidP="000879D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22"/>
                <w:szCs w:val="22"/>
              </w:rPr>
            </w:pPr>
            <w:r w:rsidRPr="0036137D">
              <w:rPr>
                <w:rFonts w:asciiTheme="majorHAnsi" w:hAnsiTheme="majorHAnsi"/>
                <w:color w:val="FFFFFF" w:themeColor="background1"/>
                <w:sz w:val="22"/>
                <w:szCs w:val="22"/>
              </w:rPr>
              <w:t>N</w:t>
            </w:r>
          </w:p>
        </w:tc>
        <w:tc>
          <w:tcPr>
            <w:tcW w:w="1080" w:type="dxa"/>
          </w:tcPr>
          <w:p w14:paraId="28A13EB5" w14:textId="77777777" w:rsidR="000879DE" w:rsidRPr="0036137D" w:rsidRDefault="000879DE" w:rsidP="000879D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22"/>
                <w:szCs w:val="22"/>
              </w:rPr>
            </w:pPr>
            <w:r w:rsidRPr="0036137D">
              <w:rPr>
                <w:rFonts w:asciiTheme="majorHAnsi" w:hAnsiTheme="majorHAnsi"/>
                <w:color w:val="FFFFFF" w:themeColor="background1"/>
                <w:sz w:val="22"/>
                <w:szCs w:val="22"/>
              </w:rPr>
              <w:t>%</w:t>
            </w:r>
          </w:p>
        </w:tc>
      </w:tr>
      <w:tr w:rsidR="000879DE" w:rsidRPr="0036137D" w14:paraId="49219DCD" w14:textId="77777777" w:rsidTr="00A04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1B355970" w14:textId="77777777" w:rsidR="000879DE" w:rsidRPr="0036137D" w:rsidRDefault="000879DE" w:rsidP="00E43419">
            <w:pPr>
              <w:rPr>
                <w:rFonts w:asciiTheme="majorHAnsi" w:hAnsiTheme="majorHAnsi"/>
                <w:sz w:val="22"/>
                <w:szCs w:val="22"/>
              </w:rPr>
            </w:pPr>
            <w:r w:rsidRPr="0036137D">
              <w:rPr>
                <w:rFonts w:asciiTheme="majorHAnsi" w:hAnsiTheme="majorHAnsi"/>
                <w:sz w:val="22"/>
                <w:szCs w:val="22"/>
              </w:rPr>
              <w:t>Program</w:t>
            </w:r>
          </w:p>
        </w:tc>
        <w:tc>
          <w:tcPr>
            <w:tcW w:w="1170" w:type="dxa"/>
            <w:vAlign w:val="center"/>
          </w:tcPr>
          <w:p w14:paraId="68B4CF23" w14:textId="77777777" w:rsidR="000879DE" w:rsidRPr="0036137D" w:rsidRDefault="000879DE"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080" w:type="dxa"/>
            <w:vAlign w:val="center"/>
          </w:tcPr>
          <w:p w14:paraId="7B7B6D6B" w14:textId="77777777" w:rsidR="000879DE" w:rsidRPr="0036137D" w:rsidRDefault="000879DE"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0879DE" w:rsidRPr="0036137D" w14:paraId="7DA7F194" w14:textId="77777777" w:rsidTr="00A04506">
        <w:tc>
          <w:tcPr>
            <w:cnfStyle w:val="001000000000" w:firstRow="0" w:lastRow="0" w:firstColumn="1" w:lastColumn="0" w:oddVBand="0" w:evenVBand="0" w:oddHBand="0" w:evenHBand="0" w:firstRowFirstColumn="0" w:firstRowLastColumn="0" w:lastRowFirstColumn="0" w:lastRowLastColumn="0"/>
            <w:tcW w:w="3955" w:type="dxa"/>
          </w:tcPr>
          <w:p w14:paraId="29AFAC19" w14:textId="77777777" w:rsidR="000879DE" w:rsidRPr="0036137D" w:rsidRDefault="000879DE" w:rsidP="00E43419">
            <w:pPr>
              <w:ind w:left="251"/>
              <w:rPr>
                <w:rFonts w:asciiTheme="majorHAnsi" w:hAnsiTheme="majorHAnsi"/>
                <w:b w:val="0"/>
                <w:sz w:val="22"/>
                <w:szCs w:val="22"/>
              </w:rPr>
            </w:pPr>
            <w:r w:rsidRPr="0036137D">
              <w:rPr>
                <w:rFonts w:asciiTheme="majorHAnsi" w:hAnsiTheme="majorHAnsi"/>
                <w:b w:val="0"/>
                <w:sz w:val="22"/>
                <w:szCs w:val="22"/>
              </w:rPr>
              <w:t>Granite Pathways</w:t>
            </w:r>
          </w:p>
        </w:tc>
        <w:tc>
          <w:tcPr>
            <w:tcW w:w="1170" w:type="dxa"/>
            <w:vAlign w:val="center"/>
          </w:tcPr>
          <w:p w14:paraId="536A00C4" w14:textId="77777777" w:rsidR="000879DE" w:rsidRPr="0036137D" w:rsidRDefault="00677160"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8</w:t>
            </w:r>
          </w:p>
        </w:tc>
        <w:tc>
          <w:tcPr>
            <w:tcW w:w="1080" w:type="dxa"/>
            <w:vAlign w:val="center"/>
          </w:tcPr>
          <w:p w14:paraId="24AC3632" w14:textId="77777777" w:rsidR="000879DE" w:rsidRPr="0036137D" w:rsidRDefault="00505137"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18.2</w:t>
            </w:r>
            <w:r w:rsidR="000879DE" w:rsidRPr="0036137D">
              <w:rPr>
                <w:rFonts w:asciiTheme="majorHAnsi" w:hAnsiTheme="majorHAnsi"/>
                <w:sz w:val="22"/>
                <w:szCs w:val="22"/>
              </w:rPr>
              <w:t>%</w:t>
            </w:r>
          </w:p>
        </w:tc>
      </w:tr>
      <w:tr w:rsidR="000879DE" w:rsidRPr="0036137D" w14:paraId="0A4353A3" w14:textId="77777777" w:rsidTr="00A04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2EEBBDAB" w14:textId="77777777" w:rsidR="000879DE" w:rsidRPr="0036137D" w:rsidRDefault="000879DE" w:rsidP="00E43419">
            <w:pPr>
              <w:ind w:left="251"/>
              <w:rPr>
                <w:rFonts w:asciiTheme="majorHAnsi" w:hAnsiTheme="majorHAnsi"/>
                <w:b w:val="0"/>
                <w:sz w:val="22"/>
                <w:szCs w:val="22"/>
              </w:rPr>
            </w:pPr>
            <w:r w:rsidRPr="0036137D">
              <w:rPr>
                <w:rFonts w:asciiTheme="majorHAnsi" w:hAnsiTheme="majorHAnsi"/>
                <w:b w:val="0"/>
                <w:sz w:val="22"/>
                <w:szCs w:val="22"/>
              </w:rPr>
              <w:t>Greater Nashua Mental Health</w:t>
            </w:r>
          </w:p>
        </w:tc>
        <w:tc>
          <w:tcPr>
            <w:tcW w:w="1170" w:type="dxa"/>
            <w:vAlign w:val="center"/>
          </w:tcPr>
          <w:p w14:paraId="24D80930" w14:textId="77777777" w:rsidR="000879DE"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36</w:t>
            </w:r>
          </w:p>
        </w:tc>
        <w:tc>
          <w:tcPr>
            <w:tcW w:w="1080" w:type="dxa"/>
            <w:vAlign w:val="center"/>
          </w:tcPr>
          <w:p w14:paraId="0EE53588" w14:textId="77777777" w:rsidR="000879DE"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81.8</w:t>
            </w:r>
            <w:r w:rsidR="000879DE" w:rsidRPr="0036137D">
              <w:rPr>
                <w:rFonts w:asciiTheme="majorHAnsi" w:hAnsiTheme="majorHAnsi"/>
                <w:sz w:val="22"/>
                <w:szCs w:val="22"/>
              </w:rPr>
              <w:t>%</w:t>
            </w:r>
          </w:p>
        </w:tc>
      </w:tr>
      <w:tr w:rsidR="000879DE" w:rsidRPr="0036137D" w14:paraId="2F421D23" w14:textId="77777777" w:rsidTr="00A04506">
        <w:tc>
          <w:tcPr>
            <w:cnfStyle w:val="001000000000" w:firstRow="0" w:lastRow="0" w:firstColumn="1" w:lastColumn="0" w:oddVBand="0" w:evenVBand="0" w:oddHBand="0" w:evenHBand="0" w:firstRowFirstColumn="0" w:firstRowLastColumn="0" w:lastRowFirstColumn="0" w:lastRowLastColumn="0"/>
            <w:tcW w:w="3955" w:type="dxa"/>
          </w:tcPr>
          <w:p w14:paraId="53EC54A7" w14:textId="77777777" w:rsidR="000879DE" w:rsidRPr="0036137D" w:rsidRDefault="000879DE" w:rsidP="00E43419">
            <w:pPr>
              <w:rPr>
                <w:rFonts w:asciiTheme="majorHAnsi" w:hAnsiTheme="majorHAnsi"/>
                <w:b w:val="0"/>
                <w:sz w:val="22"/>
                <w:szCs w:val="22"/>
              </w:rPr>
            </w:pPr>
            <w:r w:rsidRPr="0036137D">
              <w:rPr>
                <w:rFonts w:asciiTheme="majorHAnsi" w:hAnsiTheme="majorHAnsi"/>
                <w:sz w:val="22"/>
                <w:szCs w:val="22"/>
              </w:rPr>
              <w:t>Gender</w:t>
            </w:r>
          </w:p>
        </w:tc>
        <w:tc>
          <w:tcPr>
            <w:tcW w:w="1170" w:type="dxa"/>
            <w:vAlign w:val="center"/>
          </w:tcPr>
          <w:p w14:paraId="2C786C9A" w14:textId="77777777" w:rsidR="000879DE" w:rsidRPr="0036137D" w:rsidRDefault="000879DE"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080" w:type="dxa"/>
            <w:vAlign w:val="center"/>
          </w:tcPr>
          <w:p w14:paraId="22EB12EF" w14:textId="77777777" w:rsidR="000879DE" w:rsidRPr="0036137D" w:rsidRDefault="000879DE"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0879DE" w:rsidRPr="0036137D" w14:paraId="118989A0" w14:textId="77777777" w:rsidTr="00A04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1664980A" w14:textId="77777777" w:rsidR="000879DE" w:rsidRPr="0036137D" w:rsidRDefault="000879DE" w:rsidP="00E43419">
            <w:pPr>
              <w:ind w:left="251"/>
              <w:rPr>
                <w:rFonts w:asciiTheme="majorHAnsi" w:hAnsiTheme="majorHAnsi"/>
                <w:sz w:val="22"/>
                <w:szCs w:val="22"/>
              </w:rPr>
            </w:pPr>
            <w:r w:rsidRPr="0036137D">
              <w:rPr>
                <w:rFonts w:asciiTheme="majorHAnsi" w:hAnsiTheme="majorHAnsi"/>
                <w:b w:val="0"/>
                <w:sz w:val="22"/>
                <w:szCs w:val="22"/>
              </w:rPr>
              <w:t>Female</w:t>
            </w:r>
          </w:p>
        </w:tc>
        <w:tc>
          <w:tcPr>
            <w:tcW w:w="1170" w:type="dxa"/>
            <w:vAlign w:val="center"/>
          </w:tcPr>
          <w:p w14:paraId="2C2986AF" w14:textId="77777777" w:rsidR="000879DE"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17</w:t>
            </w:r>
          </w:p>
        </w:tc>
        <w:tc>
          <w:tcPr>
            <w:tcW w:w="1080" w:type="dxa"/>
            <w:vAlign w:val="center"/>
          </w:tcPr>
          <w:p w14:paraId="5020B340" w14:textId="77777777" w:rsidR="000879DE"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38.6</w:t>
            </w:r>
            <w:r w:rsidR="000879DE" w:rsidRPr="0036137D">
              <w:rPr>
                <w:rFonts w:asciiTheme="majorHAnsi" w:hAnsiTheme="majorHAnsi"/>
                <w:sz w:val="22"/>
                <w:szCs w:val="22"/>
              </w:rPr>
              <w:t>%</w:t>
            </w:r>
          </w:p>
        </w:tc>
      </w:tr>
      <w:tr w:rsidR="000879DE" w:rsidRPr="0036137D" w14:paraId="064576F9" w14:textId="77777777" w:rsidTr="00A04506">
        <w:tc>
          <w:tcPr>
            <w:cnfStyle w:val="001000000000" w:firstRow="0" w:lastRow="0" w:firstColumn="1" w:lastColumn="0" w:oddVBand="0" w:evenVBand="0" w:oddHBand="0" w:evenHBand="0" w:firstRowFirstColumn="0" w:firstRowLastColumn="0" w:lastRowFirstColumn="0" w:lastRowLastColumn="0"/>
            <w:tcW w:w="3955" w:type="dxa"/>
          </w:tcPr>
          <w:p w14:paraId="64717DC3" w14:textId="77777777" w:rsidR="000879DE" w:rsidRPr="0036137D" w:rsidRDefault="000879DE" w:rsidP="00E43419">
            <w:pPr>
              <w:ind w:left="251"/>
              <w:rPr>
                <w:rFonts w:asciiTheme="majorHAnsi" w:hAnsiTheme="majorHAnsi"/>
                <w:b w:val="0"/>
                <w:sz w:val="22"/>
                <w:szCs w:val="22"/>
              </w:rPr>
            </w:pPr>
            <w:r w:rsidRPr="0036137D">
              <w:rPr>
                <w:rFonts w:asciiTheme="majorHAnsi" w:hAnsiTheme="majorHAnsi"/>
                <w:b w:val="0"/>
                <w:sz w:val="22"/>
                <w:szCs w:val="22"/>
              </w:rPr>
              <w:t>Male</w:t>
            </w:r>
          </w:p>
        </w:tc>
        <w:tc>
          <w:tcPr>
            <w:tcW w:w="1170" w:type="dxa"/>
            <w:vAlign w:val="center"/>
          </w:tcPr>
          <w:p w14:paraId="70F29C58" w14:textId="77777777" w:rsidR="000879DE" w:rsidRPr="0036137D" w:rsidRDefault="00505137"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25</w:t>
            </w:r>
          </w:p>
        </w:tc>
        <w:tc>
          <w:tcPr>
            <w:tcW w:w="1080" w:type="dxa"/>
            <w:vAlign w:val="center"/>
          </w:tcPr>
          <w:p w14:paraId="2664DB80" w14:textId="77777777" w:rsidR="000879DE" w:rsidRPr="0036137D" w:rsidRDefault="00505137"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56.8</w:t>
            </w:r>
            <w:r w:rsidR="000879DE" w:rsidRPr="0036137D">
              <w:rPr>
                <w:rFonts w:asciiTheme="majorHAnsi" w:hAnsiTheme="majorHAnsi"/>
                <w:sz w:val="22"/>
                <w:szCs w:val="22"/>
              </w:rPr>
              <w:t>%</w:t>
            </w:r>
          </w:p>
        </w:tc>
      </w:tr>
      <w:tr w:rsidR="00505137" w:rsidRPr="0036137D" w14:paraId="4DFD6E52" w14:textId="77777777" w:rsidTr="00A04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31F1EE26" w14:textId="77777777" w:rsidR="00505137" w:rsidRPr="0036137D" w:rsidRDefault="00505137" w:rsidP="00E43419">
            <w:pPr>
              <w:ind w:left="251"/>
              <w:rPr>
                <w:rFonts w:asciiTheme="majorHAnsi" w:hAnsiTheme="majorHAnsi"/>
                <w:sz w:val="22"/>
                <w:szCs w:val="22"/>
              </w:rPr>
            </w:pPr>
            <w:r w:rsidRPr="0036137D">
              <w:rPr>
                <w:rFonts w:asciiTheme="majorHAnsi" w:hAnsiTheme="majorHAnsi"/>
                <w:b w:val="0"/>
                <w:sz w:val="22"/>
                <w:szCs w:val="22"/>
              </w:rPr>
              <w:t>Non-binary</w:t>
            </w:r>
          </w:p>
        </w:tc>
        <w:tc>
          <w:tcPr>
            <w:tcW w:w="1170" w:type="dxa"/>
            <w:vAlign w:val="center"/>
          </w:tcPr>
          <w:p w14:paraId="2949EA6B" w14:textId="77777777" w:rsidR="00505137"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w:t>
            </w:r>
          </w:p>
        </w:tc>
        <w:tc>
          <w:tcPr>
            <w:tcW w:w="1080" w:type="dxa"/>
            <w:vAlign w:val="center"/>
          </w:tcPr>
          <w:p w14:paraId="13B2D0B5" w14:textId="77777777" w:rsidR="00505137"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4.5%</w:t>
            </w:r>
          </w:p>
        </w:tc>
      </w:tr>
      <w:tr w:rsidR="000879DE" w:rsidRPr="0036137D" w14:paraId="20FB917B" w14:textId="77777777" w:rsidTr="00A04506">
        <w:tc>
          <w:tcPr>
            <w:cnfStyle w:val="001000000000" w:firstRow="0" w:lastRow="0" w:firstColumn="1" w:lastColumn="0" w:oddVBand="0" w:evenVBand="0" w:oddHBand="0" w:evenHBand="0" w:firstRowFirstColumn="0" w:firstRowLastColumn="0" w:lastRowFirstColumn="0" w:lastRowLastColumn="0"/>
            <w:tcW w:w="3955" w:type="dxa"/>
          </w:tcPr>
          <w:p w14:paraId="0E7E0CF8" w14:textId="77777777" w:rsidR="000879DE" w:rsidRPr="0036137D" w:rsidRDefault="000879DE" w:rsidP="00E43419">
            <w:pPr>
              <w:rPr>
                <w:rFonts w:asciiTheme="majorHAnsi" w:hAnsiTheme="majorHAnsi"/>
                <w:b w:val="0"/>
                <w:sz w:val="22"/>
                <w:szCs w:val="22"/>
              </w:rPr>
            </w:pPr>
            <w:r w:rsidRPr="0036137D">
              <w:rPr>
                <w:rFonts w:asciiTheme="majorHAnsi" w:hAnsiTheme="majorHAnsi"/>
                <w:sz w:val="22"/>
                <w:szCs w:val="22"/>
              </w:rPr>
              <w:t>Age</w:t>
            </w:r>
          </w:p>
        </w:tc>
        <w:tc>
          <w:tcPr>
            <w:tcW w:w="1170" w:type="dxa"/>
            <w:vAlign w:val="center"/>
          </w:tcPr>
          <w:p w14:paraId="14C43D05" w14:textId="77777777" w:rsidR="000879DE" w:rsidRPr="0036137D" w:rsidRDefault="000879DE"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080" w:type="dxa"/>
            <w:vAlign w:val="center"/>
          </w:tcPr>
          <w:p w14:paraId="4765A1C3" w14:textId="77777777" w:rsidR="000879DE" w:rsidRPr="0036137D" w:rsidRDefault="000879DE"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0879DE" w:rsidRPr="0036137D" w14:paraId="005AAE7C" w14:textId="77777777" w:rsidTr="00A04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6E08D4C7" w14:textId="77777777" w:rsidR="000879DE" w:rsidRPr="0036137D" w:rsidRDefault="000879DE" w:rsidP="00E43419">
            <w:pPr>
              <w:ind w:left="251"/>
              <w:rPr>
                <w:rFonts w:asciiTheme="majorHAnsi" w:hAnsiTheme="majorHAnsi"/>
                <w:b w:val="0"/>
                <w:sz w:val="22"/>
                <w:szCs w:val="22"/>
              </w:rPr>
            </w:pPr>
            <w:r w:rsidRPr="0036137D">
              <w:rPr>
                <w:rFonts w:asciiTheme="majorHAnsi" w:hAnsiTheme="majorHAnsi"/>
                <w:b w:val="0"/>
                <w:sz w:val="22"/>
                <w:szCs w:val="22"/>
              </w:rPr>
              <w:t>13 to 17 years old</w:t>
            </w:r>
          </w:p>
        </w:tc>
        <w:tc>
          <w:tcPr>
            <w:tcW w:w="1170" w:type="dxa"/>
            <w:vAlign w:val="center"/>
          </w:tcPr>
          <w:p w14:paraId="63D7BFDD" w14:textId="77777777" w:rsidR="000879DE"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41</w:t>
            </w:r>
          </w:p>
        </w:tc>
        <w:tc>
          <w:tcPr>
            <w:tcW w:w="1080" w:type="dxa"/>
            <w:vAlign w:val="center"/>
          </w:tcPr>
          <w:p w14:paraId="66E87EF0" w14:textId="77777777" w:rsidR="000879DE"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93.2</w:t>
            </w:r>
            <w:r w:rsidR="000879DE" w:rsidRPr="0036137D">
              <w:rPr>
                <w:rFonts w:asciiTheme="majorHAnsi" w:hAnsiTheme="majorHAnsi"/>
                <w:sz w:val="22"/>
                <w:szCs w:val="22"/>
              </w:rPr>
              <w:t>%</w:t>
            </w:r>
          </w:p>
        </w:tc>
      </w:tr>
      <w:tr w:rsidR="000879DE" w:rsidRPr="0036137D" w14:paraId="063CA615" w14:textId="77777777" w:rsidTr="00A04506">
        <w:tc>
          <w:tcPr>
            <w:cnfStyle w:val="001000000000" w:firstRow="0" w:lastRow="0" w:firstColumn="1" w:lastColumn="0" w:oddVBand="0" w:evenVBand="0" w:oddHBand="0" w:evenHBand="0" w:firstRowFirstColumn="0" w:firstRowLastColumn="0" w:lastRowFirstColumn="0" w:lastRowLastColumn="0"/>
            <w:tcW w:w="3955" w:type="dxa"/>
          </w:tcPr>
          <w:p w14:paraId="31E470BD" w14:textId="77777777" w:rsidR="000879DE" w:rsidRPr="0036137D" w:rsidRDefault="000879DE" w:rsidP="00E43419">
            <w:pPr>
              <w:ind w:left="251"/>
              <w:rPr>
                <w:rFonts w:asciiTheme="majorHAnsi" w:hAnsiTheme="majorHAnsi"/>
                <w:b w:val="0"/>
                <w:sz w:val="22"/>
                <w:szCs w:val="22"/>
              </w:rPr>
            </w:pPr>
            <w:r w:rsidRPr="0036137D">
              <w:rPr>
                <w:rFonts w:asciiTheme="majorHAnsi" w:hAnsiTheme="majorHAnsi"/>
                <w:b w:val="0"/>
                <w:sz w:val="22"/>
                <w:szCs w:val="22"/>
              </w:rPr>
              <w:t>18 to 24 years old</w:t>
            </w:r>
          </w:p>
        </w:tc>
        <w:tc>
          <w:tcPr>
            <w:tcW w:w="1170" w:type="dxa"/>
            <w:vAlign w:val="center"/>
          </w:tcPr>
          <w:p w14:paraId="23C5C427" w14:textId="77777777" w:rsidR="000879DE" w:rsidRPr="0036137D" w:rsidRDefault="00505137"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w:t>
            </w:r>
          </w:p>
        </w:tc>
        <w:tc>
          <w:tcPr>
            <w:tcW w:w="1080" w:type="dxa"/>
            <w:vAlign w:val="center"/>
          </w:tcPr>
          <w:p w14:paraId="7502C496" w14:textId="77777777" w:rsidR="000879DE" w:rsidRPr="0036137D" w:rsidRDefault="00505137"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4.5</w:t>
            </w:r>
            <w:r w:rsidR="000879DE" w:rsidRPr="0036137D">
              <w:rPr>
                <w:rFonts w:asciiTheme="majorHAnsi" w:hAnsiTheme="majorHAnsi"/>
                <w:sz w:val="22"/>
                <w:szCs w:val="22"/>
              </w:rPr>
              <w:t>%</w:t>
            </w:r>
          </w:p>
        </w:tc>
      </w:tr>
      <w:tr w:rsidR="00677160" w:rsidRPr="0036137D" w14:paraId="0727CC96" w14:textId="77777777" w:rsidTr="00A04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5FBC2335" w14:textId="77777777" w:rsidR="00677160" w:rsidRPr="0036137D" w:rsidRDefault="00677160" w:rsidP="00E43419">
            <w:pPr>
              <w:ind w:left="251"/>
              <w:rPr>
                <w:rFonts w:asciiTheme="majorHAnsi" w:hAnsiTheme="majorHAnsi"/>
                <w:b w:val="0"/>
                <w:sz w:val="22"/>
                <w:szCs w:val="22"/>
              </w:rPr>
            </w:pPr>
            <w:r w:rsidRPr="0036137D">
              <w:rPr>
                <w:rFonts w:asciiTheme="majorHAnsi" w:hAnsiTheme="majorHAnsi"/>
                <w:b w:val="0"/>
                <w:sz w:val="22"/>
                <w:szCs w:val="22"/>
              </w:rPr>
              <w:t xml:space="preserve">25 </w:t>
            </w:r>
            <w:r w:rsidR="0011171B" w:rsidRPr="0036137D">
              <w:rPr>
                <w:rFonts w:asciiTheme="majorHAnsi" w:hAnsiTheme="majorHAnsi"/>
                <w:b w:val="0"/>
                <w:sz w:val="22"/>
                <w:szCs w:val="22"/>
              </w:rPr>
              <w:t>years old and older</w:t>
            </w:r>
          </w:p>
        </w:tc>
        <w:tc>
          <w:tcPr>
            <w:tcW w:w="1170" w:type="dxa"/>
            <w:vAlign w:val="center"/>
          </w:tcPr>
          <w:p w14:paraId="4F9F8F34" w14:textId="77777777" w:rsidR="00677160" w:rsidRPr="0036137D" w:rsidRDefault="00677160"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w:t>
            </w:r>
          </w:p>
        </w:tc>
        <w:tc>
          <w:tcPr>
            <w:tcW w:w="1080" w:type="dxa"/>
            <w:vAlign w:val="center"/>
          </w:tcPr>
          <w:p w14:paraId="3745ADC2" w14:textId="77777777" w:rsidR="00677160"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2.3</w:t>
            </w:r>
            <w:r w:rsidR="00677160" w:rsidRPr="0036137D">
              <w:rPr>
                <w:rFonts w:asciiTheme="majorHAnsi" w:hAnsiTheme="majorHAnsi"/>
                <w:sz w:val="22"/>
                <w:szCs w:val="22"/>
              </w:rPr>
              <w:t>%</w:t>
            </w:r>
          </w:p>
        </w:tc>
      </w:tr>
      <w:tr w:rsidR="000879DE" w:rsidRPr="0036137D" w14:paraId="65C1979E" w14:textId="77777777" w:rsidTr="00A04506">
        <w:tc>
          <w:tcPr>
            <w:cnfStyle w:val="001000000000" w:firstRow="0" w:lastRow="0" w:firstColumn="1" w:lastColumn="0" w:oddVBand="0" w:evenVBand="0" w:oddHBand="0" w:evenHBand="0" w:firstRowFirstColumn="0" w:firstRowLastColumn="0" w:lastRowFirstColumn="0" w:lastRowLastColumn="0"/>
            <w:tcW w:w="3955" w:type="dxa"/>
          </w:tcPr>
          <w:p w14:paraId="1CE0598E" w14:textId="77777777" w:rsidR="000879DE" w:rsidRPr="0036137D" w:rsidRDefault="000879DE" w:rsidP="00E43419">
            <w:pPr>
              <w:rPr>
                <w:rFonts w:asciiTheme="majorHAnsi" w:hAnsiTheme="majorHAnsi"/>
                <w:b w:val="0"/>
                <w:sz w:val="22"/>
                <w:szCs w:val="22"/>
              </w:rPr>
            </w:pPr>
            <w:r w:rsidRPr="0036137D">
              <w:rPr>
                <w:rFonts w:asciiTheme="majorHAnsi" w:hAnsiTheme="majorHAnsi"/>
                <w:sz w:val="22"/>
                <w:szCs w:val="22"/>
              </w:rPr>
              <w:t>Ethnicity</w:t>
            </w:r>
          </w:p>
        </w:tc>
        <w:tc>
          <w:tcPr>
            <w:tcW w:w="1170" w:type="dxa"/>
            <w:vAlign w:val="center"/>
          </w:tcPr>
          <w:p w14:paraId="65D865DD" w14:textId="77777777" w:rsidR="000879DE" w:rsidRPr="0036137D" w:rsidRDefault="000879DE"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080" w:type="dxa"/>
            <w:vAlign w:val="center"/>
          </w:tcPr>
          <w:p w14:paraId="39C8C1DA" w14:textId="77777777" w:rsidR="000879DE" w:rsidRPr="0036137D" w:rsidRDefault="000879DE"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0879DE" w:rsidRPr="0036137D" w14:paraId="1FE646C2" w14:textId="77777777" w:rsidTr="00A04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4EE276EB" w14:textId="77777777" w:rsidR="000879DE" w:rsidRPr="0036137D" w:rsidRDefault="000879DE" w:rsidP="00E43419">
            <w:pPr>
              <w:ind w:left="251"/>
              <w:rPr>
                <w:rFonts w:asciiTheme="majorHAnsi" w:hAnsiTheme="majorHAnsi"/>
                <w:b w:val="0"/>
                <w:sz w:val="22"/>
                <w:szCs w:val="22"/>
              </w:rPr>
            </w:pPr>
            <w:r w:rsidRPr="0036137D">
              <w:rPr>
                <w:rFonts w:asciiTheme="majorHAnsi" w:hAnsiTheme="majorHAnsi"/>
                <w:b w:val="0"/>
                <w:sz w:val="22"/>
                <w:szCs w:val="22"/>
              </w:rPr>
              <w:t>Hispanic/Latin</w:t>
            </w:r>
            <w:r w:rsidR="00B91983" w:rsidRPr="0036137D">
              <w:rPr>
                <w:rFonts w:asciiTheme="majorHAnsi" w:hAnsiTheme="majorHAnsi"/>
                <w:b w:val="0"/>
                <w:sz w:val="22"/>
                <w:szCs w:val="22"/>
              </w:rPr>
              <w:t>x</w:t>
            </w:r>
          </w:p>
        </w:tc>
        <w:tc>
          <w:tcPr>
            <w:tcW w:w="1170" w:type="dxa"/>
            <w:vAlign w:val="center"/>
          </w:tcPr>
          <w:p w14:paraId="60F8EC23" w14:textId="77777777" w:rsidR="000879DE"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8</w:t>
            </w:r>
          </w:p>
        </w:tc>
        <w:tc>
          <w:tcPr>
            <w:tcW w:w="1080" w:type="dxa"/>
            <w:vAlign w:val="center"/>
          </w:tcPr>
          <w:p w14:paraId="4887E197" w14:textId="77777777" w:rsidR="000879DE" w:rsidRPr="0036137D" w:rsidRDefault="00677160"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18.</w:t>
            </w:r>
            <w:r w:rsidR="00505137" w:rsidRPr="0036137D">
              <w:rPr>
                <w:rFonts w:asciiTheme="majorHAnsi" w:hAnsiTheme="majorHAnsi"/>
                <w:sz w:val="22"/>
                <w:szCs w:val="22"/>
              </w:rPr>
              <w:t>2</w:t>
            </w:r>
            <w:r w:rsidR="0093322F" w:rsidRPr="0036137D">
              <w:rPr>
                <w:rFonts w:asciiTheme="majorHAnsi" w:hAnsiTheme="majorHAnsi"/>
                <w:sz w:val="22"/>
                <w:szCs w:val="22"/>
              </w:rPr>
              <w:t>%</w:t>
            </w:r>
          </w:p>
        </w:tc>
      </w:tr>
      <w:tr w:rsidR="000879DE" w:rsidRPr="0036137D" w14:paraId="7F397E42" w14:textId="77777777" w:rsidTr="00A04506">
        <w:tc>
          <w:tcPr>
            <w:cnfStyle w:val="001000000000" w:firstRow="0" w:lastRow="0" w:firstColumn="1" w:lastColumn="0" w:oddVBand="0" w:evenVBand="0" w:oddHBand="0" w:evenHBand="0" w:firstRowFirstColumn="0" w:firstRowLastColumn="0" w:lastRowFirstColumn="0" w:lastRowLastColumn="0"/>
            <w:tcW w:w="3955" w:type="dxa"/>
          </w:tcPr>
          <w:p w14:paraId="60353F57" w14:textId="77777777" w:rsidR="000879DE" w:rsidRPr="0036137D" w:rsidRDefault="000879DE" w:rsidP="00E43419">
            <w:pPr>
              <w:ind w:left="251"/>
              <w:rPr>
                <w:rFonts w:asciiTheme="majorHAnsi" w:hAnsiTheme="majorHAnsi"/>
                <w:b w:val="0"/>
                <w:sz w:val="22"/>
                <w:szCs w:val="22"/>
              </w:rPr>
            </w:pPr>
            <w:r w:rsidRPr="0036137D">
              <w:rPr>
                <w:rFonts w:asciiTheme="majorHAnsi" w:hAnsiTheme="majorHAnsi"/>
                <w:b w:val="0"/>
                <w:sz w:val="22"/>
                <w:szCs w:val="22"/>
              </w:rPr>
              <w:t>Non-Hispanic/Latin</w:t>
            </w:r>
            <w:r w:rsidR="00B91983" w:rsidRPr="0036137D">
              <w:rPr>
                <w:rFonts w:asciiTheme="majorHAnsi" w:hAnsiTheme="majorHAnsi"/>
                <w:b w:val="0"/>
                <w:sz w:val="22"/>
                <w:szCs w:val="22"/>
              </w:rPr>
              <w:t>x</w:t>
            </w:r>
          </w:p>
        </w:tc>
        <w:tc>
          <w:tcPr>
            <w:tcW w:w="1170" w:type="dxa"/>
            <w:vAlign w:val="center"/>
          </w:tcPr>
          <w:p w14:paraId="75CBD5A7" w14:textId="77777777" w:rsidR="000879DE" w:rsidRPr="0036137D" w:rsidRDefault="00505137"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36</w:t>
            </w:r>
          </w:p>
        </w:tc>
        <w:tc>
          <w:tcPr>
            <w:tcW w:w="1080" w:type="dxa"/>
            <w:vAlign w:val="center"/>
          </w:tcPr>
          <w:p w14:paraId="27D05AD6" w14:textId="77777777" w:rsidR="000879DE" w:rsidRPr="0036137D" w:rsidRDefault="00677160"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81.</w:t>
            </w:r>
            <w:r w:rsidR="00505137" w:rsidRPr="0036137D">
              <w:rPr>
                <w:rFonts w:asciiTheme="majorHAnsi" w:hAnsiTheme="majorHAnsi"/>
                <w:sz w:val="22"/>
                <w:szCs w:val="22"/>
              </w:rPr>
              <w:t>8</w:t>
            </w:r>
            <w:r w:rsidR="0093322F" w:rsidRPr="0036137D">
              <w:rPr>
                <w:rFonts w:asciiTheme="majorHAnsi" w:hAnsiTheme="majorHAnsi"/>
                <w:sz w:val="22"/>
                <w:szCs w:val="22"/>
              </w:rPr>
              <w:t>%</w:t>
            </w:r>
          </w:p>
        </w:tc>
      </w:tr>
      <w:tr w:rsidR="000879DE" w:rsidRPr="0036137D" w14:paraId="4F45401A" w14:textId="77777777" w:rsidTr="00A04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5BADA4DC" w14:textId="77777777" w:rsidR="000879DE" w:rsidRPr="0036137D" w:rsidRDefault="000879DE" w:rsidP="00E43419">
            <w:pPr>
              <w:rPr>
                <w:rFonts w:asciiTheme="majorHAnsi" w:hAnsiTheme="majorHAnsi"/>
                <w:b w:val="0"/>
                <w:sz w:val="22"/>
                <w:szCs w:val="22"/>
              </w:rPr>
            </w:pPr>
            <w:r w:rsidRPr="0036137D">
              <w:rPr>
                <w:rFonts w:asciiTheme="majorHAnsi" w:hAnsiTheme="majorHAnsi"/>
                <w:sz w:val="22"/>
                <w:szCs w:val="22"/>
              </w:rPr>
              <w:t>Race</w:t>
            </w:r>
          </w:p>
        </w:tc>
        <w:tc>
          <w:tcPr>
            <w:tcW w:w="1170" w:type="dxa"/>
            <w:vAlign w:val="center"/>
          </w:tcPr>
          <w:p w14:paraId="2F9A6191" w14:textId="77777777" w:rsidR="000879DE" w:rsidRPr="0036137D" w:rsidRDefault="000879DE"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080" w:type="dxa"/>
            <w:vAlign w:val="center"/>
          </w:tcPr>
          <w:p w14:paraId="509DC2C1" w14:textId="77777777" w:rsidR="000879DE" w:rsidRPr="0036137D" w:rsidRDefault="000879DE"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0879DE" w:rsidRPr="0036137D" w14:paraId="1A5A5FA4" w14:textId="77777777" w:rsidTr="00A04506">
        <w:tc>
          <w:tcPr>
            <w:cnfStyle w:val="001000000000" w:firstRow="0" w:lastRow="0" w:firstColumn="1" w:lastColumn="0" w:oddVBand="0" w:evenVBand="0" w:oddHBand="0" w:evenHBand="0" w:firstRowFirstColumn="0" w:firstRowLastColumn="0" w:lastRowFirstColumn="0" w:lastRowLastColumn="0"/>
            <w:tcW w:w="3955" w:type="dxa"/>
          </w:tcPr>
          <w:p w14:paraId="2EB9050E" w14:textId="77777777" w:rsidR="000879DE" w:rsidRPr="0036137D" w:rsidRDefault="000879DE" w:rsidP="00E43419">
            <w:pPr>
              <w:ind w:left="251"/>
              <w:rPr>
                <w:rFonts w:asciiTheme="majorHAnsi" w:hAnsiTheme="majorHAnsi"/>
                <w:b w:val="0"/>
                <w:sz w:val="22"/>
                <w:szCs w:val="22"/>
              </w:rPr>
            </w:pPr>
            <w:r w:rsidRPr="0036137D">
              <w:rPr>
                <w:rFonts w:asciiTheme="majorHAnsi" w:hAnsiTheme="majorHAnsi"/>
                <w:b w:val="0"/>
                <w:sz w:val="22"/>
                <w:szCs w:val="22"/>
              </w:rPr>
              <w:t>African American/Black</w:t>
            </w:r>
          </w:p>
        </w:tc>
        <w:tc>
          <w:tcPr>
            <w:tcW w:w="1170" w:type="dxa"/>
            <w:vAlign w:val="center"/>
          </w:tcPr>
          <w:p w14:paraId="0B03BB3D" w14:textId="77777777" w:rsidR="000879DE" w:rsidRPr="0036137D" w:rsidRDefault="00677160"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w:t>
            </w:r>
          </w:p>
        </w:tc>
        <w:tc>
          <w:tcPr>
            <w:tcW w:w="1080" w:type="dxa"/>
            <w:vAlign w:val="center"/>
          </w:tcPr>
          <w:p w14:paraId="2932BBC6" w14:textId="77777777" w:rsidR="000879DE" w:rsidRPr="0036137D" w:rsidRDefault="00505137"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4.8</w:t>
            </w:r>
            <w:r w:rsidR="0093322F" w:rsidRPr="0036137D">
              <w:rPr>
                <w:rFonts w:asciiTheme="majorHAnsi" w:hAnsiTheme="majorHAnsi"/>
                <w:sz w:val="22"/>
                <w:szCs w:val="22"/>
              </w:rPr>
              <w:t>%</w:t>
            </w:r>
          </w:p>
        </w:tc>
      </w:tr>
      <w:tr w:rsidR="00505137" w:rsidRPr="0036137D" w14:paraId="2F1BA879" w14:textId="77777777" w:rsidTr="00A04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1813DFB6" w14:textId="77777777" w:rsidR="00505137" w:rsidRPr="0036137D" w:rsidRDefault="00505137" w:rsidP="00E43419">
            <w:pPr>
              <w:ind w:left="251"/>
              <w:rPr>
                <w:rFonts w:asciiTheme="majorHAnsi" w:hAnsiTheme="majorHAnsi"/>
                <w:b w:val="0"/>
                <w:sz w:val="22"/>
                <w:szCs w:val="22"/>
              </w:rPr>
            </w:pPr>
            <w:r w:rsidRPr="0036137D">
              <w:rPr>
                <w:rFonts w:asciiTheme="majorHAnsi" w:hAnsiTheme="majorHAnsi"/>
                <w:b w:val="0"/>
                <w:sz w:val="22"/>
                <w:szCs w:val="22"/>
              </w:rPr>
              <w:t>American Indian or Alaska Native</w:t>
            </w:r>
          </w:p>
        </w:tc>
        <w:tc>
          <w:tcPr>
            <w:tcW w:w="1170" w:type="dxa"/>
            <w:vAlign w:val="center"/>
          </w:tcPr>
          <w:p w14:paraId="4D7A0762" w14:textId="77777777" w:rsidR="00505137"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w:t>
            </w:r>
          </w:p>
        </w:tc>
        <w:tc>
          <w:tcPr>
            <w:tcW w:w="1080" w:type="dxa"/>
            <w:vAlign w:val="center"/>
          </w:tcPr>
          <w:p w14:paraId="5D7A1244" w14:textId="77777777" w:rsidR="00505137"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2.4%</w:t>
            </w:r>
          </w:p>
        </w:tc>
      </w:tr>
      <w:tr w:rsidR="000879DE" w:rsidRPr="0036137D" w14:paraId="709C4954" w14:textId="77777777" w:rsidTr="00A04506">
        <w:tc>
          <w:tcPr>
            <w:cnfStyle w:val="001000000000" w:firstRow="0" w:lastRow="0" w:firstColumn="1" w:lastColumn="0" w:oddVBand="0" w:evenVBand="0" w:oddHBand="0" w:evenHBand="0" w:firstRowFirstColumn="0" w:firstRowLastColumn="0" w:lastRowFirstColumn="0" w:lastRowLastColumn="0"/>
            <w:tcW w:w="3955" w:type="dxa"/>
          </w:tcPr>
          <w:p w14:paraId="531B07C4" w14:textId="77777777" w:rsidR="000879DE" w:rsidRPr="0036137D" w:rsidRDefault="000879DE" w:rsidP="00E43419">
            <w:pPr>
              <w:ind w:left="251"/>
              <w:rPr>
                <w:rFonts w:asciiTheme="majorHAnsi" w:hAnsiTheme="majorHAnsi"/>
                <w:b w:val="0"/>
                <w:sz w:val="22"/>
                <w:szCs w:val="22"/>
              </w:rPr>
            </w:pPr>
            <w:r w:rsidRPr="0036137D">
              <w:rPr>
                <w:rFonts w:asciiTheme="majorHAnsi" w:hAnsiTheme="majorHAnsi"/>
                <w:b w:val="0"/>
                <w:sz w:val="22"/>
                <w:szCs w:val="22"/>
              </w:rPr>
              <w:t>White</w:t>
            </w:r>
          </w:p>
        </w:tc>
        <w:tc>
          <w:tcPr>
            <w:tcW w:w="1170" w:type="dxa"/>
            <w:vAlign w:val="center"/>
          </w:tcPr>
          <w:p w14:paraId="4F05D3ED" w14:textId="77777777" w:rsidR="000879DE" w:rsidRPr="0036137D" w:rsidRDefault="00505137"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37</w:t>
            </w:r>
          </w:p>
        </w:tc>
        <w:tc>
          <w:tcPr>
            <w:tcW w:w="1080" w:type="dxa"/>
            <w:vAlign w:val="center"/>
          </w:tcPr>
          <w:p w14:paraId="2DA01041" w14:textId="77777777" w:rsidR="000879DE" w:rsidRPr="0036137D" w:rsidRDefault="00505137"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88.1</w:t>
            </w:r>
            <w:r w:rsidR="0093322F" w:rsidRPr="0036137D">
              <w:rPr>
                <w:rFonts w:asciiTheme="majorHAnsi" w:hAnsiTheme="majorHAnsi"/>
                <w:sz w:val="22"/>
                <w:szCs w:val="22"/>
              </w:rPr>
              <w:t>%</w:t>
            </w:r>
          </w:p>
        </w:tc>
      </w:tr>
      <w:tr w:rsidR="00505137" w:rsidRPr="0036137D" w14:paraId="1D923E12" w14:textId="77777777" w:rsidTr="00A04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36B612CD" w14:textId="77777777" w:rsidR="00505137" w:rsidRPr="0036137D" w:rsidRDefault="00505137" w:rsidP="00E43419">
            <w:pPr>
              <w:ind w:left="251"/>
              <w:rPr>
                <w:rFonts w:asciiTheme="majorHAnsi" w:hAnsiTheme="majorHAnsi"/>
                <w:b w:val="0"/>
                <w:sz w:val="22"/>
                <w:szCs w:val="22"/>
              </w:rPr>
            </w:pPr>
            <w:r w:rsidRPr="0036137D">
              <w:rPr>
                <w:rFonts w:asciiTheme="majorHAnsi" w:hAnsiTheme="majorHAnsi"/>
                <w:b w:val="0"/>
                <w:sz w:val="22"/>
                <w:szCs w:val="22"/>
              </w:rPr>
              <w:t>Two or more races</w:t>
            </w:r>
          </w:p>
        </w:tc>
        <w:tc>
          <w:tcPr>
            <w:tcW w:w="1170" w:type="dxa"/>
            <w:vAlign w:val="center"/>
          </w:tcPr>
          <w:p w14:paraId="01FC22E9" w14:textId="77777777" w:rsidR="00505137"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w:t>
            </w:r>
          </w:p>
        </w:tc>
        <w:tc>
          <w:tcPr>
            <w:tcW w:w="1080" w:type="dxa"/>
            <w:vAlign w:val="center"/>
          </w:tcPr>
          <w:p w14:paraId="40D3EF5B" w14:textId="77777777" w:rsidR="00505137"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4.8%</w:t>
            </w:r>
          </w:p>
        </w:tc>
      </w:tr>
      <w:tr w:rsidR="000879DE" w:rsidRPr="0036137D" w14:paraId="6DA907E6" w14:textId="77777777" w:rsidTr="00A04506">
        <w:tc>
          <w:tcPr>
            <w:cnfStyle w:val="001000000000" w:firstRow="0" w:lastRow="0" w:firstColumn="1" w:lastColumn="0" w:oddVBand="0" w:evenVBand="0" w:oddHBand="0" w:evenHBand="0" w:firstRowFirstColumn="0" w:firstRowLastColumn="0" w:lastRowFirstColumn="0" w:lastRowLastColumn="0"/>
            <w:tcW w:w="3955" w:type="dxa"/>
          </w:tcPr>
          <w:p w14:paraId="0E63F203" w14:textId="77777777" w:rsidR="000879DE" w:rsidRPr="0036137D" w:rsidRDefault="000879DE" w:rsidP="00E43419">
            <w:pPr>
              <w:rPr>
                <w:rFonts w:asciiTheme="majorHAnsi" w:hAnsiTheme="majorHAnsi"/>
                <w:b w:val="0"/>
                <w:sz w:val="22"/>
                <w:szCs w:val="22"/>
              </w:rPr>
            </w:pPr>
            <w:r w:rsidRPr="0036137D">
              <w:rPr>
                <w:rFonts w:asciiTheme="majorHAnsi" w:hAnsiTheme="majorHAnsi"/>
                <w:sz w:val="22"/>
                <w:szCs w:val="22"/>
              </w:rPr>
              <w:t>Sexual Orientation</w:t>
            </w:r>
          </w:p>
        </w:tc>
        <w:tc>
          <w:tcPr>
            <w:tcW w:w="1170" w:type="dxa"/>
            <w:vAlign w:val="center"/>
          </w:tcPr>
          <w:p w14:paraId="2B481CC8" w14:textId="77777777" w:rsidR="000879DE" w:rsidRPr="0036137D" w:rsidRDefault="000879DE"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080" w:type="dxa"/>
            <w:vAlign w:val="center"/>
          </w:tcPr>
          <w:p w14:paraId="0884E745" w14:textId="77777777" w:rsidR="000879DE" w:rsidRPr="0036137D" w:rsidRDefault="000879DE"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0879DE" w:rsidRPr="0036137D" w14:paraId="67243979" w14:textId="77777777" w:rsidTr="00A04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08A0E77D" w14:textId="77777777" w:rsidR="000879DE" w:rsidRPr="0036137D" w:rsidRDefault="000879DE" w:rsidP="00E43419">
            <w:pPr>
              <w:ind w:left="251"/>
              <w:rPr>
                <w:rFonts w:asciiTheme="majorHAnsi" w:hAnsiTheme="majorHAnsi"/>
                <w:b w:val="0"/>
                <w:sz w:val="22"/>
                <w:szCs w:val="22"/>
              </w:rPr>
            </w:pPr>
            <w:r w:rsidRPr="0036137D">
              <w:rPr>
                <w:rFonts w:asciiTheme="majorHAnsi" w:hAnsiTheme="majorHAnsi"/>
                <w:b w:val="0"/>
                <w:sz w:val="22"/>
                <w:szCs w:val="22"/>
              </w:rPr>
              <w:t>Heterosexual</w:t>
            </w:r>
          </w:p>
        </w:tc>
        <w:tc>
          <w:tcPr>
            <w:tcW w:w="1170" w:type="dxa"/>
            <w:vAlign w:val="center"/>
          </w:tcPr>
          <w:p w14:paraId="1FDD4D4D" w14:textId="77777777" w:rsidR="000879DE"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30</w:t>
            </w:r>
          </w:p>
        </w:tc>
        <w:tc>
          <w:tcPr>
            <w:tcW w:w="1080" w:type="dxa"/>
            <w:vAlign w:val="center"/>
          </w:tcPr>
          <w:p w14:paraId="07EB40DE" w14:textId="77777777" w:rsidR="000879DE"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69.8</w:t>
            </w:r>
            <w:r w:rsidR="0093322F" w:rsidRPr="0036137D">
              <w:rPr>
                <w:rFonts w:asciiTheme="majorHAnsi" w:hAnsiTheme="majorHAnsi"/>
                <w:sz w:val="22"/>
                <w:szCs w:val="22"/>
              </w:rPr>
              <w:t>%</w:t>
            </w:r>
          </w:p>
        </w:tc>
      </w:tr>
      <w:tr w:rsidR="00677160" w:rsidRPr="0036137D" w14:paraId="72CD0555" w14:textId="77777777" w:rsidTr="00A04506">
        <w:tc>
          <w:tcPr>
            <w:cnfStyle w:val="001000000000" w:firstRow="0" w:lastRow="0" w:firstColumn="1" w:lastColumn="0" w:oddVBand="0" w:evenVBand="0" w:oddHBand="0" w:evenHBand="0" w:firstRowFirstColumn="0" w:firstRowLastColumn="0" w:lastRowFirstColumn="0" w:lastRowLastColumn="0"/>
            <w:tcW w:w="3955" w:type="dxa"/>
          </w:tcPr>
          <w:p w14:paraId="73BDB2F7" w14:textId="77777777" w:rsidR="00677160" w:rsidRPr="0036137D" w:rsidRDefault="00677160" w:rsidP="00E43419">
            <w:pPr>
              <w:ind w:left="251"/>
              <w:rPr>
                <w:rFonts w:asciiTheme="majorHAnsi" w:hAnsiTheme="majorHAnsi"/>
                <w:sz w:val="22"/>
                <w:szCs w:val="22"/>
              </w:rPr>
            </w:pPr>
            <w:r w:rsidRPr="0036137D">
              <w:rPr>
                <w:rFonts w:asciiTheme="majorHAnsi" w:hAnsiTheme="majorHAnsi"/>
                <w:b w:val="0"/>
                <w:sz w:val="22"/>
                <w:szCs w:val="22"/>
              </w:rPr>
              <w:t>Gay or Lesbian</w:t>
            </w:r>
          </w:p>
        </w:tc>
        <w:tc>
          <w:tcPr>
            <w:tcW w:w="1170" w:type="dxa"/>
            <w:vAlign w:val="center"/>
          </w:tcPr>
          <w:p w14:paraId="4F87B008" w14:textId="77777777" w:rsidR="00677160" w:rsidRPr="0036137D" w:rsidRDefault="00505137"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w:t>
            </w:r>
          </w:p>
        </w:tc>
        <w:tc>
          <w:tcPr>
            <w:tcW w:w="1080" w:type="dxa"/>
            <w:vAlign w:val="center"/>
          </w:tcPr>
          <w:p w14:paraId="2378F7F4" w14:textId="77777777" w:rsidR="00677160" w:rsidRPr="0036137D" w:rsidRDefault="00677160"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4.</w:t>
            </w:r>
            <w:r w:rsidR="00505137" w:rsidRPr="0036137D">
              <w:rPr>
                <w:rFonts w:asciiTheme="majorHAnsi" w:hAnsiTheme="majorHAnsi"/>
                <w:sz w:val="22"/>
                <w:szCs w:val="22"/>
              </w:rPr>
              <w:t>7</w:t>
            </w:r>
            <w:r w:rsidRPr="0036137D">
              <w:rPr>
                <w:rFonts w:asciiTheme="majorHAnsi" w:hAnsiTheme="majorHAnsi"/>
                <w:sz w:val="22"/>
                <w:szCs w:val="22"/>
              </w:rPr>
              <w:t>%</w:t>
            </w:r>
          </w:p>
        </w:tc>
      </w:tr>
      <w:tr w:rsidR="000879DE" w:rsidRPr="0036137D" w14:paraId="2B81E5B5" w14:textId="77777777" w:rsidTr="00A04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3E5288D6" w14:textId="77777777" w:rsidR="000879DE" w:rsidRPr="0036137D" w:rsidRDefault="000879DE" w:rsidP="00E43419">
            <w:pPr>
              <w:ind w:left="251"/>
              <w:rPr>
                <w:rFonts w:asciiTheme="majorHAnsi" w:hAnsiTheme="majorHAnsi"/>
                <w:b w:val="0"/>
                <w:sz w:val="22"/>
                <w:szCs w:val="22"/>
              </w:rPr>
            </w:pPr>
            <w:r w:rsidRPr="0036137D">
              <w:rPr>
                <w:rFonts w:asciiTheme="majorHAnsi" w:hAnsiTheme="majorHAnsi"/>
                <w:b w:val="0"/>
                <w:sz w:val="22"/>
                <w:szCs w:val="22"/>
              </w:rPr>
              <w:t>Bisexual</w:t>
            </w:r>
          </w:p>
        </w:tc>
        <w:tc>
          <w:tcPr>
            <w:tcW w:w="1170" w:type="dxa"/>
            <w:vAlign w:val="center"/>
          </w:tcPr>
          <w:p w14:paraId="7F58566D" w14:textId="77777777" w:rsidR="000879DE" w:rsidRPr="0036137D" w:rsidRDefault="00505137"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9</w:t>
            </w:r>
          </w:p>
        </w:tc>
        <w:tc>
          <w:tcPr>
            <w:tcW w:w="1080" w:type="dxa"/>
            <w:vAlign w:val="center"/>
          </w:tcPr>
          <w:p w14:paraId="7AF887E2" w14:textId="77777777" w:rsidR="000879DE" w:rsidRPr="0036137D" w:rsidRDefault="00677160" w:rsidP="00A0450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20.</w:t>
            </w:r>
            <w:r w:rsidR="00505137" w:rsidRPr="0036137D">
              <w:rPr>
                <w:rFonts w:asciiTheme="majorHAnsi" w:hAnsiTheme="majorHAnsi"/>
                <w:sz w:val="22"/>
                <w:szCs w:val="22"/>
              </w:rPr>
              <w:t>9</w:t>
            </w:r>
            <w:r w:rsidR="0093322F" w:rsidRPr="0036137D">
              <w:rPr>
                <w:rFonts w:asciiTheme="majorHAnsi" w:hAnsiTheme="majorHAnsi"/>
                <w:sz w:val="22"/>
                <w:szCs w:val="22"/>
              </w:rPr>
              <w:t>%</w:t>
            </w:r>
          </w:p>
        </w:tc>
      </w:tr>
      <w:tr w:rsidR="00505137" w:rsidRPr="0036137D" w14:paraId="502617DE" w14:textId="77777777" w:rsidTr="00A04506">
        <w:tc>
          <w:tcPr>
            <w:cnfStyle w:val="001000000000" w:firstRow="0" w:lastRow="0" w:firstColumn="1" w:lastColumn="0" w:oddVBand="0" w:evenVBand="0" w:oddHBand="0" w:evenHBand="0" w:firstRowFirstColumn="0" w:firstRowLastColumn="0" w:lastRowFirstColumn="0" w:lastRowLastColumn="0"/>
            <w:tcW w:w="3955" w:type="dxa"/>
          </w:tcPr>
          <w:p w14:paraId="31562D4B" w14:textId="77777777" w:rsidR="00505137" w:rsidRPr="0036137D" w:rsidRDefault="00505137" w:rsidP="00E43419">
            <w:pPr>
              <w:ind w:left="251"/>
              <w:rPr>
                <w:rFonts w:asciiTheme="majorHAnsi" w:hAnsiTheme="majorHAnsi"/>
                <w:b w:val="0"/>
                <w:sz w:val="22"/>
                <w:szCs w:val="22"/>
              </w:rPr>
            </w:pPr>
            <w:r w:rsidRPr="0036137D">
              <w:rPr>
                <w:rFonts w:asciiTheme="majorHAnsi" w:hAnsiTheme="majorHAnsi"/>
                <w:b w:val="0"/>
                <w:sz w:val="22"/>
                <w:szCs w:val="22"/>
              </w:rPr>
              <w:t>Not sure</w:t>
            </w:r>
          </w:p>
        </w:tc>
        <w:tc>
          <w:tcPr>
            <w:tcW w:w="1170" w:type="dxa"/>
            <w:vAlign w:val="center"/>
          </w:tcPr>
          <w:p w14:paraId="5214563C" w14:textId="77777777" w:rsidR="00505137" w:rsidRPr="0036137D" w:rsidRDefault="00505137"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w:t>
            </w:r>
          </w:p>
        </w:tc>
        <w:tc>
          <w:tcPr>
            <w:tcW w:w="1080" w:type="dxa"/>
            <w:vAlign w:val="center"/>
          </w:tcPr>
          <w:p w14:paraId="713D1A47" w14:textId="77777777" w:rsidR="00505137" w:rsidRPr="0036137D" w:rsidRDefault="00505137" w:rsidP="00A0450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4.7%</w:t>
            </w:r>
          </w:p>
        </w:tc>
      </w:tr>
    </w:tbl>
    <w:p w14:paraId="606E8613" w14:textId="77777777" w:rsidR="001D1A0E" w:rsidRDefault="001D1A0E" w:rsidP="001D1A0E">
      <w:pPr>
        <w:pStyle w:val="FigureSource"/>
      </w:pPr>
      <w:r>
        <w:t>Source: P</w:t>
      </w:r>
      <w:r w:rsidRPr="000879DE">
        <w:t xml:space="preserve">articipant-level data received through </w:t>
      </w:r>
      <w:r>
        <w:t>November 30, 2020</w:t>
      </w:r>
    </w:p>
    <w:p w14:paraId="0B1A6C5C" w14:textId="233E60EB" w:rsidR="00AD0920" w:rsidRDefault="00AD0920" w:rsidP="00AD0920">
      <w:bookmarkStart w:id="50" w:name="_Toc62141333"/>
      <w:bookmarkStart w:id="51" w:name="_Toc52547216"/>
      <w:r>
        <w:t xml:space="preserve">As noted earlier, CC-NH has a special focus on youth of color and youth who are lesbian, gay, bisexual, transgender, or questioning (LGBTQ). To assess the level of success in recruiting youth from these two underserved communities, we compared the race/ethnicity and sexual orientation of youth enrolled in the CC-NH program with New Hampshire’s youth population. Looking at Exhibit 8b, we find that </w:t>
      </w:r>
      <w:r w:rsidR="00E107E6">
        <w:t>24% of CC-NH participants identified with a racial/ethnic category other than non-Hispanic White</w:t>
      </w:r>
      <w:r w:rsidR="006D2507">
        <w:t xml:space="preserve">, compared to 16% </w:t>
      </w:r>
      <w:r w:rsidR="00E107E6">
        <w:t xml:space="preserve">among the state’s </w:t>
      </w:r>
      <w:r w:rsidR="006D2507">
        <w:t xml:space="preserve">population of </w:t>
      </w:r>
      <w:r w:rsidR="00E107E6">
        <w:t>public school students</w:t>
      </w:r>
      <w:r w:rsidR="006D2507">
        <w:t xml:space="preserve">. </w:t>
      </w:r>
      <w:r w:rsidR="00E107E6">
        <w:t xml:space="preserve">This indicates that minority youth are </w:t>
      </w:r>
      <w:r w:rsidR="00E107E6" w:rsidRPr="00E107E6">
        <w:rPr>
          <w:i/>
          <w:iCs/>
        </w:rPr>
        <w:t>over</w:t>
      </w:r>
      <w:r w:rsidR="00E107E6">
        <w:t>represented among program participants, suggesting that the program has been successful in reaching out to this community</w:t>
      </w:r>
      <w:r w:rsidR="006D2507">
        <w:t>.</w:t>
      </w:r>
    </w:p>
    <w:p w14:paraId="0FBBB6A7" w14:textId="1B1FC83D" w:rsidR="00CE7869" w:rsidRDefault="00CE7869" w:rsidP="008F3C56">
      <w:pPr>
        <w:pStyle w:val="ExhibitTitle"/>
      </w:pPr>
      <w:bookmarkStart w:id="52" w:name="_Toc64988277"/>
      <w:r>
        <w:lastRenderedPageBreak/>
        <w:t>Exhibit 8b</w:t>
      </w:r>
      <w:r w:rsidR="00D01976">
        <w:t>.</w:t>
      </w:r>
      <w:r>
        <w:t xml:space="preserve"> </w:t>
      </w:r>
      <w:r w:rsidRPr="000C4709">
        <w:t xml:space="preserve">Percentage of </w:t>
      </w:r>
      <w:r w:rsidR="0095682E" w:rsidRPr="000C4709">
        <w:t xml:space="preserve">enrollments by race/ethnicity </w:t>
      </w:r>
      <w:r w:rsidR="0095682E">
        <w:t>among</w:t>
      </w:r>
      <w:r w:rsidR="0095682E" w:rsidRPr="000C4709">
        <w:t xml:space="preserve"> New Hampshire public schools and CC-NH</w:t>
      </w:r>
      <w:bookmarkEnd w:id="50"/>
      <w:bookmarkEnd w:id="52"/>
    </w:p>
    <w:p w14:paraId="2F5AE51C" w14:textId="77777777" w:rsidR="00CE7869" w:rsidRPr="000C4709" w:rsidRDefault="00CE7869" w:rsidP="00E43419">
      <w:pPr>
        <w:spacing w:after="0"/>
        <w:rPr>
          <w:lang w:eastAsia="ja-JP"/>
        </w:rPr>
      </w:pPr>
      <w:r>
        <w:rPr>
          <w:noProof/>
        </w:rPr>
        <w:drawing>
          <wp:inline distT="0" distB="0" distL="0" distR="0" wp14:anchorId="70ABB284" wp14:editId="7FE3E09C">
            <wp:extent cx="4572000" cy="1802921"/>
            <wp:effectExtent l="0" t="0" r="0" b="6985"/>
            <wp:docPr id="60" name="Chart 60">
              <a:extLst xmlns:a="http://schemas.openxmlformats.org/drawingml/2006/main">
                <a:ext uri="{FF2B5EF4-FFF2-40B4-BE49-F238E27FC236}">
                  <a16:creationId xmlns:a16="http://schemas.microsoft.com/office/drawing/2014/main" id="{F4C50473-9FBF-46C5-96E8-80135DDCBE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141EBD" w14:textId="77777777" w:rsidR="00CE7869" w:rsidRDefault="00CE7869" w:rsidP="00CE7869">
      <w:pPr>
        <w:pStyle w:val="FigureSource"/>
      </w:pPr>
      <w:r w:rsidRPr="000C4709">
        <w:t xml:space="preserve">Source: Participant-level data received through </w:t>
      </w:r>
      <w:r>
        <w:t>November</w:t>
      </w:r>
      <w:r w:rsidRPr="000C4709">
        <w:t xml:space="preserve"> 30, 2020 and data from the New Hampshire Department of Education, Division of Education Analytics and Resources, accessed on June 24, 2020 from </w:t>
      </w:r>
      <w:hyperlink r:id="rId23" w:history="1">
        <w:r w:rsidR="00E107E6" w:rsidRPr="00C71472">
          <w:rPr>
            <w:rStyle w:val="Hyperlink"/>
          </w:rPr>
          <w:t>https://www.education.nh.gov/who-we-are/division-of-educator-and-analytic-resources/bureau-of-education-statistics/demographic-data</w:t>
        </w:r>
      </w:hyperlink>
    </w:p>
    <w:p w14:paraId="17EC2203" w14:textId="5A938769" w:rsidR="00E107E6" w:rsidRDefault="00E107E6" w:rsidP="00E107E6">
      <w:r>
        <w:t xml:space="preserve">Although we do not have data on program participants’ transgender status, we were able to compare their sexual orientation to the state’s population in the same age range. Exhibit 8c shows that 16% of New Hampshire’s high school students identified their sexual orientation as </w:t>
      </w:r>
      <w:r w:rsidR="007F2408">
        <w:t xml:space="preserve">LGBQ, compared to </w:t>
      </w:r>
      <w:r w:rsidR="003765CE">
        <w:t>30</w:t>
      </w:r>
      <w:r w:rsidR="007F2408">
        <w:t xml:space="preserve">% of program participants. This difference indicates the program’s success in </w:t>
      </w:r>
      <w:r w:rsidR="003765CE">
        <w:t>providing services to</w:t>
      </w:r>
      <w:r w:rsidR="007F2408">
        <w:t xml:space="preserve"> LGBQ </w:t>
      </w:r>
      <w:r w:rsidR="003765CE">
        <w:t>youth</w:t>
      </w:r>
      <w:r w:rsidR="007F2408">
        <w:t xml:space="preserve">. </w:t>
      </w:r>
      <w:r>
        <w:t xml:space="preserve"> </w:t>
      </w:r>
    </w:p>
    <w:p w14:paraId="58E18F66" w14:textId="68613B23" w:rsidR="00D01976" w:rsidRDefault="00D01976" w:rsidP="008F3C56">
      <w:pPr>
        <w:pStyle w:val="ExhibitTitle"/>
      </w:pPr>
      <w:bookmarkStart w:id="53" w:name="_Toc64988278"/>
      <w:r>
        <w:t xml:space="preserve">Exhibit 8c. </w:t>
      </w:r>
      <w:r w:rsidRPr="000C4709">
        <w:t xml:space="preserve">Percentage of </w:t>
      </w:r>
      <w:r w:rsidR="0095682E" w:rsidRPr="000C4709">
        <w:t xml:space="preserve">enrollments by </w:t>
      </w:r>
      <w:r w:rsidR="0095682E">
        <w:t>sexual orientation among</w:t>
      </w:r>
      <w:r w:rsidR="0095682E" w:rsidRPr="000C4709">
        <w:t xml:space="preserve"> </w:t>
      </w:r>
      <w:r w:rsidRPr="000C4709">
        <w:t xml:space="preserve">New Hampshire </w:t>
      </w:r>
      <w:r w:rsidR="0095682E">
        <w:t>high school students</w:t>
      </w:r>
      <w:r w:rsidRPr="000C4709">
        <w:t xml:space="preserve"> and CC-NH</w:t>
      </w:r>
      <w:bookmarkEnd w:id="53"/>
    </w:p>
    <w:p w14:paraId="604732BD" w14:textId="77777777" w:rsidR="00D01976" w:rsidRPr="00D01976" w:rsidRDefault="00D01976" w:rsidP="00E43419">
      <w:pPr>
        <w:spacing w:after="0"/>
        <w:rPr>
          <w:lang w:eastAsia="ja-JP"/>
        </w:rPr>
      </w:pPr>
      <w:r>
        <w:rPr>
          <w:noProof/>
        </w:rPr>
        <w:drawing>
          <wp:inline distT="0" distB="0" distL="0" distR="0" wp14:anchorId="57F8DBE7" wp14:editId="0BBA9DE5">
            <wp:extent cx="4572000" cy="1801368"/>
            <wp:effectExtent l="0" t="0" r="0" b="8890"/>
            <wp:docPr id="63" name="Chart 63">
              <a:extLst xmlns:a="http://schemas.openxmlformats.org/drawingml/2006/main">
                <a:ext uri="{FF2B5EF4-FFF2-40B4-BE49-F238E27FC236}">
                  <a16:creationId xmlns:a16="http://schemas.microsoft.com/office/drawing/2014/main" id="{E48CCB3D-DC8B-42FC-81A6-35BD5826A0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727213" w14:textId="77777777" w:rsidR="00AD0920" w:rsidRDefault="00AD0920" w:rsidP="00AD0920">
      <w:pPr>
        <w:pStyle w:val="FigureSource"/>
        <w:spacing w:after="0"/>
      </w:pPr>
      <w:r>
        <w:t>* LGBQ = Lesbian, Gay, Bisexual, or Questioning (“not sure”)</w:t>
      </w:r>
    </w:p>
    <w:p w14:paraId="0F8F0E95" w14:textId="73583F0B" w:rsidR="00D01976" w:rsidRDefault="00D01976" w:rsidP="00D01976">
      <w:pPr>
        <w:pStyle w:val="FigureSource"/>
      </w:pPr>
      <w:r w:rsidRPr="000C4709">
        <w:t xml:space="preserve">Source: Participant-level data received through </w:t>
      </w:r>
      <w:r>
        <w:t>November</w:t>
      </w:r>
      <w:r w:rsidRPr="000C4709">
        <w:t xml:space="preserve"> 30, 2020 and</w:t>
      </w:r>
      <w:r w:rsidR="00AD0920">
        <w:t xml:space="preserve"> 2019 New Hampshire YRBS.</w:t>
      </w:r>
    </w:p>
    <w:p w14:paraId="7E2F2F22" w14:textId="681050C7" w:rsidR="00AD0920" w:rsidRDefault="003765CE" w:rsidP="00AD0920">
      <w:r>
        <w:t>Exhibit 9 show</w:t>
      </w:r>
      <w:r w:rsidR="003A70DB">
        <w:t>s</w:t>
      </w:r>
      <w:r>
        <w:t xml:space="preserve"> </w:t>
      </w:r>
      <w:r w:rsidR="00AD0920">
        <w:t>primary diagnos</w:t>
      </w:r>
      <w:r>
        <w:t>e</w:t>
      </w:r>
      <w:r w:rsidR="00AD0920">
        <w:t xml:space="preserve">s </w:t>
      </w:r>
      <w:r>
        <w:t>of</w:t>
      </w:r>
      <w:r w:rsidR="00AD0920">
        <w:t xml:space="preserve"> </w:t>
      </w:r>
      <w:r>
        <w:t>participants</w:t>
      </w:r>
      <w:r w:rsidR="00AD0920">
        <w:t xml:space="preserve"> at intake</w:t>
      </w:r>
      <w:r>
        <w:t xml:space="preserve">. </w:t>
      </w:r>
      <w:r w:rsidR="0095682E">
        <w:t>The m</w:t>
      </w:r>
      <w:r w:rsidR="003A70DB">
        <w:t xml:space="preserve">ajority of participants (69%) presented with an SUD-related primary diagnosis. </w:t>
      </w:r>
      <w:r>
        <w:t>T</w:t>
      </w:r>
      <w:r w:rsidR="003A70DB">
        <w:t xml:space="preserve">he most prevalent </w:t>
      </w:r>
      <w:r w:rsidR="002B2A12">
        <w:t>substance use</w:t>
      </w:r>
      <w:r w:rsidR="003A70DB">
        <w:t xml:space="preserve"> diagnoses</w:t>
      </w:r>
      <w:r w:rsidR="00AD0920">
        <w:t xml:space="preserve"> </w:t>
      </w:r>
      <w:r w:rsidR="003A70DB">
        <w:t>were those</w:t>
      </w:r>
      <w:r>
        <w:t xml:space="preserve"> associated with cannabis use (</w:t>
      </w:r>
      <w:r w:rsidR="00336DFB">
        <w:t xml:space="preserve">collectively, </w:t>
      </w:r>
      <w:r>
        <w:t>45%)</w:t>
      </w:r>
      <w:r w:rsidR="00AD0920">
        <w:t xml:space="preserve"> </w:t>
      </w:r>
      <w:r w:rsidR="003A70DB">
        <w:t>followed by alcohol-related diagnoses (</w:t>
      </w:r>
      <w:r w:rsidR="00336DFB">
        <w:t xml:space="preserve">collectively, </w:t>
      </w:r>
      <w:r w:rsidR="003A70DB">
        <w:t xml:space="preserve">12%). Disorders associated with psychoactive drugs other than cannabis constituted 7% of diagnoses. Participants with a mental health diagnosis </w:t>
      </w:r>
      <w:r w:rsidR="00336DFB">
        <w:t xml:space="preserve">accounted for </w:t>
      </w:r>
      <w:r w:rsidR="003A70DB">
        <w:t xml:space="preserve">31% of intakes. </w:t>
      </w:r>
    </w:p>
    <w:p w14:paraId="733036B7" w14:textId="531C4198" w:rsidR="00146C3D" w:rsidRPr="00BC6E34" w:rsidRDefault="00146C3D" w:rsidP="00E43419">
      <w:pPr>
        <w:pStyle w:val="ExhibitTitle"/>
      </w:pPr>
      <w:bookmarkStart w:id="54" w:name="_Toc64988279"/>
      <w:r w:rsidRPr="00BC6E34">
        <w:lastRenderedPageBreak/>
        <w:t xml:space="preserve">Exhibit </w:t>
      </w:r>
      <w:r w:rsidR="00B2442C">
        <w:t>9</w:t>
      </w:r>
      <w:r w:rsidRPr="00BC6E34">
        <w:t xml:space="preserve">. Primary </w:t>
      </w:r>
      <w:r w:rsidR="00EB2C12" w:rsidRPr="00BC6E34">
        <w:t>diagnosis</w:t>
      </w:r>
      <w:bookmarkEnd w:id="51"/>
      <w:bookmarkEnd w:id="54"/>
    </w:p>
    <w:tbl>
      <w:tblPr>
        <w:tblStyle w:val="GridTable4-Accent51"/>
        <w:tblW w:w="5000" w:type="pct"/>
        <w:tblLook w:val="04A0" w:firstRow="1" w:lastRow="0" w:firstColumn="1" w:lastColumn="0" w:noHBand="0" w:noVBand="1"/>
      </w:tblPr>
      <w:tblGrid>
        <w:gridCol w:w="7285"/>
        <w:gridCol w:w="915"/>
        <w:gridCol w:w="1150"/>
      </w:tblGrid>
      <w:tr w:rsidR="00146C3D" w:rsidRPr="0036137D" w14:paraId="5ED1C37F" w14:textId="77777777" w:rsidTr="00AC143D">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285" w:type="dxa"/>
          </w:tcPr>
          <w:p w14:paraId="1BB004FE" w14:textId="77777777" w:rsidR="00146C3D" w:rsidRPr="0036137D" w:rsidRDefault="00146C3D" w:rsidP="00E43419">
            <w:pPr>
              <w:keepNext/>
              <w:keepLines/>
              <w:spacing w:before="20" w:after="20" w:line="240" w:lineRule="auto"/>
              <w:rPr>
                <w:rFonts w:asciiTheme="majorHAnsi" w:hAnsiTheme="majorHAnsi"/>
                <w:color w:val="FFFFFF" w:themeColor="background1"/>
                <w:sz w:val="22"/>
                <w:szCs w:val="22"/>
              </w:rPr>
            </w:pPr>
          </w:p>
        </w:tc>
        <w:tc>
          <w:tcPr>
            <w:tcW w:w="915" w:type="dxa"/>
          </w:tcPr>
          <w:p w14:paraId="4ABC3726" w14:textId="77777777" w:rsidR="00146C3D" w:rsidRPr="0036137D" w:rsidRDefault="00146C3D" w:rsidP="00E43419">
            <w:pPr>
              <w:keepNext/>
              <w:keepLines/>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22"/>
                <w:szCs w:val="22"/>
              </w:rPr>
            </w:pPr>
            <w:r w:rsidRPr="0036137D">
              <w:rPr>
                <w:rFonts w:asciiTheme="majorHAnsi" w:hAnsiTheme="majorHAnsi"/>
                <w:color w:val="FFFFFF" w:themeColor="background1"/>
                <w:sz w:val="22"/>
                <w:szCs w:val="22"/>
              </w:rPr>
              <w:t>N</w:t>
            </w:r>
          </w:p>
        </w:tc>
        <w:tc>
          <w:tcPr>
            <w:tcW w:w="1150" w:type="dxa"/>
          </w:tcPr>
          <w:p w14:paraId="319C9375" w14:textId="77777777" w:rsidR="00146C3D" w:rsidRPr="0036137D" w:rsidRDefault="00146C3D" w:rsidP="00E43419">
            <w:pPr>
              <w:keepNext/>
              <w:keepLines/>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22"/>
                <w:szCs w:val="22"/>
              </w:rPr>
            </w:pPr>
            <w:r w:rsidRPr="0036137D">
              <w:rPr>
                <w:rFonts w:asciiTheme="majorHAnsi" w:hAnsiTheme="majorHAnsi"/>
                <w:color w:val="FFFFFF" w:themeColor="background1"/>
                <w:sz w:val="22"/>
                <w:szCs w:val="22"/>
              </w:rPr>
              <w:t>%</w:t>
            </w:r>
          </w:p>
        </w:tc>
      </w:tr>
      <w:tr w:rsidR="0052317D" w:rsidRPr="0036137D" w14:paraId="039A78C4" w14:textId="77777777" w:rsidTr="00AC143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285" w:type="dxa"/>
          </w:tcPr>
          <w:p w14:paraId="3045D0BB"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F10.10 – Alcohol use disorder, uncomplicated, mild</w:t>
            </w:r>
          </w:p>
        </w:tc>
        <w:tc>
          <w:tcPr>
            <w:tcW w:w="915" w:type="dxa"/>
          </w:tcPr>
          <w:p w14:paraId="01655780"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w:t>
            </w:r>
          </w:p>
        </w:tc>
        <w:tc>
          <w:tcPr>
            <w:tcW w:w="1150" w:type="dxa"/>
          </w:tcPr>
          <w:p w14:paraId="27DA7A81"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2.4</w:t>
            </w:r>
            <w:r w:rsidR="001E298D" w:rsidRPr="0036137D">
              <w:rPr>
                <w:rFonts w:asciiTheme="majorHAnsi" w:hAnsiTheme="majorHAnsi"/>
                <w:sz w:val="22"/>
                <w:szCs w:val="22"/>
              </w:rPr>
              <w:t>%</w:t>
            </w:r>
          </w:p>
        </w:tc>
      </w:tr>
      <w:tr w:rsidR="0052317D" w:rsidRPr="0036137D" w14:paraId="076A279A" w14:textId="77777777" w:rsidTr="00AC143D">
        <w:trPr>
          <w:trHeight w:val="144"/>
        </w:trPr>
        <w:tc>
          <w:tcPr>
            <w:cnfStyle w:val="001000000000" w:firstRow="0" w:lastRow="0" w:firstColumn="1" w:lastColumn="0" w:oddVBand="0" w:evenVBand="0" w:oddHBand="0" w:evenHBand="0" w:firstRowFirstColumn="0" w:firstRowLastColumn="0" w:lastRowFirstColumn="0" w:lastRowLastColumn="0"/>
            <w:tcW w:w="7285" w:type="dxa"/>
          </w:tcPr>
          <w:p w14:paraId="5817A445"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F10.20 – Alcohol use disorder, uncomplicated, moderate/severe</w:t>
            </w:r>
          </w:p>
        </w:tc>
        <w:tc>
          <w:tcPr>
            <w:tcW w:w="915" w:type="dxa"/>
          </w:tcPr>
          <w:p w14:paraId="1E05E1F1" w14:textId="77777777" w:rsidR="0052317D" w:rsidRPr="0036137D" w:rsidRDefault="0052317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4</w:t>
            </w:r>
          </w:p>
        </w:tc>
        <w:tc>
          <w:tcPr>
            <w:tcW w:w="1150" w:type="dxa"/>
          </w:tcPr>
          <w:p w14:paraId="62B9A7E0" w14:textId="77777777" w:rsidR="0052317D" w:rsidRPr="0036137D" w:rsidRDefault="0052317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9.5</w:t>
            </w:r>
            <w:r w:rsidR="001E298D" w:rsidRPr="0036137D">
              <w:rPr>
                <w:rFonts w:asciiTheme="majorHAnsi" w:hAnsiTheme="majorHAnsi"/>
                <w:sz w:val="22"/>
                <w:szCs w:val="22"/>
              </w:rPr>
              <w:t>%</w:t>
            </w:r>
          </w:p>
        </w:tc>
      </w:tr>
      <w:tr w:rsidR="0052317D" w:rsidRPr="0036137D" w14:paraId="6903C034" w14:textId="77777777" w:rsidTr="00AC143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285" w:type="dxa"/>
          </w:tcPr>
          <w:p w14:paraId="0E7DEFA7"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F11.20 – Opioid use disorder, uncomplicated, moderate/severe</w:t>
            </w:r>
          </w:p>
        </w:tc>
        <w:tc>
          <w:tcPr>
            <w:tcW w:w="915" w:type="dxa"/>
          </w:tcPr>
          <w:p w14:paraId="105F8FB2"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w:t>
            </w:r>
          </w:p>
        </w:tc>
        <w:tc>
          <w:tcPr>
            <w:tcW w:w="1150" w:type="dxa"/>
          </w:tcPr>
          <w:p w14:paraId="3D1851B7"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2.4</w:t>
            </w:r>
            <w:r w:rsidR="001E298D" w:rsidRPr="0036137D">
              <w:rPr>
                <w:rFonts w:asciiTheme="majorHAnsi" w:hAnsiTheme="majorHAnsi"/>
                <w:sz w:val="22"/>
                <w:szCs w:val="22"/>
              </w:rPr>
              <w:t>%</w:t>
            </w:r>
          </w:p>
        </w:tc>
      </w:tr>
      <w:tr w:rsidR="0052317D" w:rsidRPr="0036137D" w14:paraId="10D0661D" w14:textId="77777777" w:rsidTr="00AC143D">
        <w:trPr>
          <w:trHeight w:val="144"/>
        </w:trPr>
        <w:tc>
          <w:tcPr>
            <w:cnfStyle w:val="001000000000" w:firstRow="0" w:lastRow="0" w:firstColumn="1" w:lastColumn="0" w:oddVBand="0" w:evenVBand="0" w:oddHBand="0" w:evenHBand="0" w:firstRowFirstColumn="0" w:firstRowLastColumn="0" w:lastRowFirstColumn="0" w:lastRowLastColumn="0"/>
            <w:tcW w:w="7285" w:type="dxa"/>
          </w:tcPr>
          <w:p w14:paraId="4FF18C37"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F12.10 – Cannabis use disorder, uncomplicated, mild</w:t>
            </w:r>
          </w:p>
        </w:tc>
        <w:tc>
          <w:tcPr>
            <w:tcW w:w="915" w:type="dxa"/>
          </w:tcPr>
          <w:p w14:paraId="009D0774" w14:textId="77777777" w:rsidR="0052317D" w:rsidRPr="0036137D" w:rsidRDefault="0052317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6</w:t>
            </w:r>
          </w:p>
        </w:tc>
        <w:tc>
          <w:tcPr>
            <w:tcW w:w="1150" w:type="dxa"/>
          </w:tcPr>
          <w:p w14:paraId="2333AF14" w14:textId="77777777" w:rsidR="0052317D" w:rsidRPr="0036137D" w:rsidRDefault="0052317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14.3</w:t>
            </w:r>
            <w:r w:rsidR="001E298D" w:rsidRPr="0036137D">
              <w:rPr>
                <w:rFonts w:asciiTheme="majorHAnsi" w:hAnsiTheme="majorHAnsi"/>
                <w:sz w:val="22"/>
                <w:szCs w:val="22"/>
              </w:rPr>
              <w:t>%</w:t>
            </w:r>
          </w:p>
        </w:tc>
      </w:tr>
      <w:tr w:rsidR="0052317D" w:rsidRPr="0036137D" w14:paraId="76DA3758" w14:textId="77777777" w:rsidTr="00AC143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285" w:type="dxa"/>
          </w:tcPr>
          <w:p w14:paraId="25EA2F54"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F12.20 – Cannabis use disorder, uncomplicated, moderate/severe</w:t>
            </w:r>
          </w:p>
        </w:tc>
        <w:tc>
          <w:tcPr>
            <w:tcW w:w="915" w:type="dxa"/>
          </w:tcPr>
          <w:p w14:paraId="242681F8"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10</w:t>
            </w:r>
          </w:p>
        </w:tc>
        <w:tc>
          <w:tcPr>
            <w:tcW w:w="1150" w:type="dxa"/>
          </w:tcPr>
          <w:p w14:paraId="7454DE1F"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23.8</w:t>
            </w:r>
            <w:r w:rsidR="001E298D" w:rsidRPr="0036137D">
              <w:rPr>
                <w:rFonts w:asciiTheme="majorHAnsi" w:hAnsiTheme="majorHAnsi"/>
                <w:sz w:val="22"/>
                <w:szCs w:val="22"/>
              </w:rPr>
              <w:t>%</w:t>
            </w:r>
          </w:p>
        </w:tc>
      </w:tr>
      <w:tr w:rsidR="0052317D" w:rsidRPr="0036137D" w14:paraId="0ECFCB79" w14:textId="77777777" w:rsidTr="00AC143D">
        <w:trPr>
          <w:trHeight w:val="144"/>
        </w:trPr>
        <w:tc>
          <w:tcPr>
            <w:cnfStyle w:val="001000000000" w:firstRow="0" w:lastRow="0" w:firstColumn="1" w:lastColumn="0" w:oddVBand="0" w:evenVBand="0" w:oddHBand="0" w:evenHBand="0" w:firstRowFirstColumn="0" w:firstRowLastColumn="0" w:lastRowFirstColumn="0" w:lastRowLastColumn="0"/>
            <w:tcW w:w="7285" w:type="dxa"/>
          </w:tcPr>
          <w:p w14:paraId="2C8A18BD"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F12.9 – Cannabis use, unspecified</w:t>
            </w:r>
          </w:p>
        </w:tc>
        <w:tc>
          <w:tcPr>
            <w:tcW w:w="915" w:type="dxa"/>
          </w:tcPr>
          <w:p w14:paraId="48E3E88C" w14:textId="77777777" w:rsidR="0052317D" w:rsidRPr="0036137D" w:rsidRDefault="0052317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3</w:t>
            </w:r>
          </w:p>
        </w:tc>
        <w:tc>
          <w:tcPr>
            <w:tcW w:w="1150" w:type="dxa"/>
          </w:tcPr>
          <w:p w14:paraId="6A5D0D30" w14:textId="77777777" w:rsidR="0052317D" w:rsidRPr="0036137D" w:rsidRDefault="0052317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7.1</w:t>
            </w:r>
            <w:r w:rsidR="001E298D" w:rsidRPr="0036137D">
              <w:rPr>
                <w:rFonts w:asciiTheme="majorHAnsi" w:hAnsiTheme="majorHAnsi"/>
                <w:sz w:val="22"/>
                <w:szCs w:val="22"/>
              </w:rPr>
              <w:t>%</w:t>
            </w:r>
          </w:p>
        </w:tc>
      </w:tr>
      <w:tr w:rsidR="0052317D" w:rsidRPr="0036137D" w14:paraId="209CE117" w14:textId="77777777" w:rsidTr="00AC143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285" w:type="dxa"/>
          </w:tcPr>
          <w:p w14:paraId="54BD9D0C"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F14.20 – Cocaine use disorder, uncomplicated, moderate/severe</w:t>
            </w:r>
          </w:p>
        </w:tc>
        <w:tc>
          <w:tcPr>
            <w:tcW w:w="915" w:type="dxa"/>
          </w:tcPr>
          <w:p w14:paraId="093EC921"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w:t>
            </w:r>
          </w:p>
        </w:tc>
        <w:tc>
          <w:tcPr>
            <w:tcW w:w="1150" w:type="dxa"/>
          </w:tcPr>
          <w:p w14:paraId="48B69C74"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2.4</w:t>
            </w:r>
            <w:r w:rsidR="001E298D" w:rsidRPr="0036137D">
              <w:rPr>
                <w:rFonts w:asciiTheme="majorHAnsi" w:hAnsiTheme="majorHAnsi"/>
                <w:sz w:val="22"/>
                <w:szCs w:val="22"/>
              </w:rPr>
              <w:t>%</w:t>
            </w:r>
          </w:p>
        </w:tc>
      </w:tr>
      <w:tr w:rsidR="0052317D" w:rsidRPr="0036137D" w14:paraId="04D649AC" w14:textId="77777777" w:rsidTr="00AC143D">
        <w:trPr>
          <w:trHeight w:val="144"/>
        </w:trPr>
        <w:tc>
          <w:tcPr>
            <w:cnfStyle w:val="001000000000" w:firstRow="0" w:lastRow="0" w:firstColumn="1" w:lastColumn="0" w:oddVBand="0" w:evenVBand="0" w:oddHBand="0" w:evenHBand="0" w:firstRowFirstColumn="0" w:firstRowLastColumn="0" w:lastRowFirstColumn="0" w:lastRowLastColumn="0"/>
            <w:tcW w:w="7285" w:type="dxa"/>
          </w:tcPr>
          <w:p w14:paraId="3D73E5C1"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F15.21 – Other stimulant use disorder, moderate/severe, in remission</w:t>
            </w:r>
          </w:p>
        </w:tc>
        <w:tc>
          <w:tcPr>
            <w:tcW w:w="915" w:type="dxa"/>
          </w:tcPr>
          <w:p w14:paraId="2241F202" w14:textId="77777777" w:rsidR="0052317D" w:rsidRPr="0036137D" w:rsidRDefault="0052317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w:t>
            </w:r>
          </w:p>
        </w:tc>
        <w:tc>
          <w:tcPr>
            <w:tcW w:w="1150" w:type="dxa"/>
          </w:tcPr>
          <w:p w14:paraId="56EE08D9" w14:textId="77777777" w:rsidR="0052317D" w:rsidRPr="0036137D" w:rsidRDefault="0052317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2.4</w:t>
            </w:r>
            <w:r w:rsidR="001E298D" w:rsidRPr="0036137D">
              <w:rPr>
                <w:rFonts w:asciiTheme="majorHAnsi" w:hAnsiTheme="majorHAnsi"/>
                <w:sz w:val="22"/>
                <w:szCs w:val="22"/>
              </w:rPr>
              <w:t>%</w:t>
            </w:r>
          </w:p>
        </w:tc>
      </w:tr>
      <w:tr w:rsidR="0052317D" w:rsidRPr="0036137D" w14:paraId="1E54DBE2" w14:textId="77777777" w:rsidTr="00AC143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285" w:type="dxa"/>
          </w:tcPr>
          <w:p w14:paraId="2BD500FC"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F19.10 – Other psychoactive substance use disorder, uncomplicated, mild</w:t>
            </w:r>
          </w:p>
        </w:tc>
        <w:tc>
          <w:tcPr>
            <w:tcW w:w="915" w:type="dxa"/>
          </w:tcPr>
          <w:p w14:paraId="2593918D"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w:t>
            </w:r>
          </w:p>
        </w:tc>
        <w:tc>
          <w:tcPr>
            <w:tcW w:w="1150" w:type="dxa"/>
          </w:tcPr>
          <w:p w14:paraId="29438512"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2.4</w:t>
            </w:r>
            <w:r w:rsidR="001E298D" w:rsidRPr="0036137D">
              <w:rPr>
                <w:rFonts w:asciiTheme="majorHAnsi" w:hAnsiTheme="majorHAnsi"/>
                <w:sz w:val="22"/>
                <w:szCs w:val="22"/>
              </w:rPr>
              <w:t>%</w:t>
            </w:r>
          </w:p>
        </w:tc>
      </w:tr>
      <w:tr w:rsidR="0052317D" w:rsidRPr="0036137D" w14:paraId="78BE3E82" w14:textId="77777777" w:rsidTr="00AC143D">
        <w:trPr>
          <w:trHeight w:val="144"/>
        </w:trPr>
        <w:tc>
          <w:tcPr>
            <w:cnfStyle w:val="001000000000" w:firstRow="0" w:lastRow="0" w:firstColumn="1" w:lastColumn="0" w:oddVBand="0" w:evenVBand="0" w:oddHBand="0" w:evenHBand="0" w:firstRowFirstColumn="0" w:firstRowLastColumn="0" w:lastRowFirstColumn="0" w:lastRowLastColumn="0"/>
            <w:tcW w:w="7285" w:type="dxa"/>
          </w:tcPr>
          <w:p w14:paraId="3884267F"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F17.20 – Tobacco use disorder, mild/moderate/severe</w:t>
            </w:r>
          </w:p>
        </w:tc>
        <w:tc>
          <w:tcPr>
            <w:tcW w:w="915" w:type="dxa"/>
          </w:tcPr>
          <w:p w14:paraId="40C5B539" w14:textId="77777777" w:rsidR="0052317D" w:rsidRPr="0036137D" w:rsidRDefault="0052317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w:t>
            </w:r>
          </w:p>
        </w:tc>
        <w:tc>
          <w:tcPr>
            <w:tcW w:w="1150" w:type="dxa"/>
          </w:tcPr>
          <w:p w14:paraId="7BC61270" w14:textId="77777777" w:rsidR="0052317D" w:rsidRPr="0036137D" w:rsidRDefault="0052317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2.4</w:t>
            </w:r>
            <w:r w:rsidR="001E298D" w:rsidRPr="0036137D">
              <w:rPr>
                <w:rFonts w:asciiTheme="majorHAnsi" w:hAnsiTheme="majorHAnsi"/>
                <w:sz w:val="22"/>
                <w:szCs w:val="22"/>
              </w:rPr>
              <w:t>%</w:t>
            </w:r>
          </w:p>
        </w:tc>
      </w:tr>
      <w:tr w:rsidR="0052317D" w:rsidRPr="0036137D" w14:paraId="5C3D9C90" w14:textId="77777777" w:rsidTr="00AC143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285" w:type="dxa"/>
          </w:tcPr>
          <w:p w14:paraId="3570E9C1"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F21 – Schizotypal disorder</w:t>
            </w:r>
          </w:p>
        </w:tc>
        <w:tc>
          <w:tcPr>
            <w:tcW w:w="915" w:type="dxa"/>
          </w:tcPr>
          <w:p w14:paraId="47C45393"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w:t>
            </w:r>
          </w:p>
        </w:tc>
        <w:tc>
          <w:tcPr>
            <w:tcW w:w="1150" w:type="dxa"/>
          </w:tcPr>
          <w:p w14:paraId="51C70CA9"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2.4</w:t>
            </w:r>
            <w:r w:rsidR="001E298D" w:rsidRPr="0036137D">
              <w:rPr>
                <w:rFonts w:asciiTheme="majorHAnsi" w:hAnsiTheme="majorHAnsi"/>
                <w:sz w:val="22"/>
                <w:szCs w:val="22"/>
              </w:rPr>
              <w:t>%</w:t>
            </w:r>
          </w:p>
        </w:tc>
      </w:tr>
      <w:tr w:rsidR="0052317D" w:rsidRPr="0036137D" w14:paraId="446189E2" w14:textId="77777777" w:rsidTr="00AC143D">
        <w:trPr>
          <w:trHeight w:val="144"/>
        </w:trPr>
        <w:tc>
          <w:tcPr>
            <w:cnfStyle w:val="001000000000" w:firstRow="0" w:lastRow="0" w:firstColumn="1" w:lastColumn="0" w:oddVBand="0" w:evenVBand="0" w:oddHBand="0" w:evenHBand="0" w:firstRowFirstColumn="0" w:firstRowLastColumn="0" w:lastRowFirstColumn="0" w:lastRowLastColumn="0"/>
            <w:tcW w:w="7285" w:type="dxa"/>
          </w:tcPr>
          <w:p w14:paraId="42AC331A"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F32 – Major depressive disorder, single episode</w:t>
            </w:r>
          </w:p>
        </w:tc>
        <w:tc>
          <w:tcPr>
            <w:tcW w:w="915" w:type="dxa"/>
          </w:tcPr>
          <w:p w14:paraId="633150C6" w14:textId="77777777" w:rsidR="0052317D" w:rsidRPr="0036137D" w:rsidRDefault="0052317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3</w:t>
            </w:r>
          </w:p>
        </w:tc>
        <w:tc>
          <w:tcPr>
            <w:tcW w:w="1150" w:type="dxa"/>
          </w:tcPr>
          <w:p w14:paraId="75F49E15" w14:textId="77777777" w:rsidR="0052317D" w:rsidRPr="0036137D" w:rsidRDefault="0052317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7.1</w:t>
            </w:r>
            <w:r w:rsidR="001E298D" w:rsidRPr="0036137D">
              <w:rPr>
                <w:rFonts w:asciiTheme="majorHAnsi" w:hAnsiTheme="majorHAnsi"/>
                <w:sz w:val="22"/>
                <w:szCs w:val="22"/>
              </w:rPr>
              <w:t>%</w:t>
            </w:r>
          </w:p>
        </w:tc>
      </w:tr>
      <w:tr w:rsidR="0052317D" w:rsidRPr="0036137D" w14:paraId="67509B33" w14:textId="77777777" w:rsidTr="00AC143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285" w:type="dxa"/>
          </w:tcPr>
          <w:p w14:paraId="6CF37F7C"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F33 – Major depressive disorder, recurrent</w:t>
            </w:r>
          </w:p>
        </w:tc>
        <w:tc>
          <w:tcPr>
            <w:tcW w:w="915" w:type="dxa"/>
          </w:tcPr>
          <w:p w14:paraId="546EB6D3"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w:t>
            </w:r>
          </w:p>
        </w:tc>
        <w:tc>
          <w:tcPr>
            <w:tcW w:w="1150" w:type="dxa"/>
          </w:tcPr>
          <w:p w14:paraId="3668A361"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2.4</w:t>
            </w:r>
            <w:r w:rsidR="001E298D" w:rsidRPr="0036137D">
              <w:rPr>
                <w:rFonts w:asciiTheme="majorHAnsi" w:hAnsiTheme="majorHAnsi"/>
                <w:sz w:val="22"/>
                <w:szCs w:val="22"/>
              </w:rPr>
              <w:t>%</w:t>
            </w:r>
          </w:p>
        </w:tc>
      </w:tr>
      <w:tr w:rsidR="0052317D" w:rsidRPr="0036137D" w14:paraId="770CC38F" w14:textId="77777777" w:rsidTr="00AC143D">
        <w:trPr>
          <w:trHeight w:val="144"/>
        </w:trPr>
        <w:tc>
          <w:tcPr>
            <w:cnfStyle w:val="001000000000" w:firstRow="0" w:lastRow="0" w:firstColumn="1" w:lastColumn="0" w:oddVBand="0" w:evenVBand="0" w:oddHBand="0" w:evenHBand="0" w:firstRowFirstColumn="0" w:firstRowLastColumn="0" w:lastRowFirstColumn="0" w:lastRowLastColumn="0"/>
            <w:tcW w:w="7285" w:type="dxa"/>
          </w:tcPr>
          <w:p w14:paraId="1A5EE100"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F34 – Persistent mood [affective] disorders</w:t>
            </w:r>
          </w:p>
        </w:tc>
        <w:tc>
          <w:tcPr>
            <w:tcW w:w="915" w:type="dxa"/>
          </w:tcPr>
          <w:p w14:paraId="44EA7EF0" w14:textId="77777777" w:rsidR="0052317D" w:rsidRPr="0036137D" w:rsidRDefault="0052317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w:t>
            </w:r>
          </w:p>
        </w:tc>
        <w:tc>
          <w:tcPr>
            <w:tcW w:w="1150" w:type="dxa"/>
          </w:tcPr>
          <w:p w14:paraId="73149108" w14:textId="77777777" w:rsidR="0052317D" w:rsidRPr="0036137D" w:rsidRDefault="0052317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4.8</w:t>
            </w:r>
            <w:r w:rsidR="001E298D" w:rsidRPr="0036137D">
              <w:rPr>
                <w:rFonts w:asciiTheme="majorHAnsi" w:hAnsiTheme="majorHAnsi"/>
                <w:sz w:val="22"/>
                <w:szCs w:val="22"/>
              </w:rPr>
              <w:t>%</w:t>
            </w:r>
          </w:p>
        </w:tc>
      </w:tr>
      <w:tr w:rsidR="0052317D" w:rsidRPr="0036137D" w14:paraId="49010C6A" w14:textId="77777777" w:rsidTr="00AC143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285" w:type="dxa"/>
          </w:tcPr>
          <w:p w14:paraId="3FB73544"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 xml:space="preserve">F40-F48 – Anxiety, dissociative, stress-related, somatoform and other nonpsychotic mental disorders </w:t>
            </w:r>
          </w:p>
        </w:tc>
        <w:tc>
          <w:tcPr>
            <w:tcW w:w="915" w:type="dxa"/>
          </w:tcPr>
          <w:p w14:paraId="72835654"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4</w:t>
            </w:r>
          </w:p>
        </w:tc>
        <w:tc>
          <w:tcPr>
            <w:tcW w:w="1150" w:type="dxa"/>
          </w:tcPr>
          <w:p w14:paraId="3393D28C"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9.5</w:t>
            </w:r>
            <w:r w:rsidR="001E298D" w:rsidRPr="0036137D">
              <w:rPr>
                <w:rFonts w:asciiTheme="majorHAnsi" w:hAnsiTheme="majorHAnsi"/>
                <w:sz w:val="22"/>
                <w:szCs w:val="22"/>
              </w:rPr>
              <w:t>%</w:t>
            </w:r>
          </w:p>
        </w:tc>
      </w:tr>
      <w:tr w:rsidR="0052317D" w:rsidRPr="0036137D" w14:paraId="542B1DCC" w14:textId="77777777" w:rsidTr="00AC143D">
        <w:trPr>
          <w:trHeight w:val="144"/>
        </w:trPr>
        <w:tc>
          <w:tcPr>
            <w:cnfStyle w:val="001000000000" w:firstRow="0" w:lastRow="0" w:firstColumn="1" w:lastColumn="0" w:oddVBand="0" w:evenVBand="0" w:oddHBand="0" w:evenHBand="0" w:firstRowFirstColumn="0" w:firstRowLastColumn="0" w:lastRowFirstColumn="0" w:lastRowLastColumn="0"/>
            <w:tcW w:w="7285" w:type="dxa"/>
          </w:tcPr>
          <w:p w14:paraId="48462A41"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F90 – Attention-deficit hyperactivity disorders</w:t>
            </w:r>
          </w:p>
        </w:tc>
        <w:tc>
          <w:tcPr>
            <w:tcW w:w="915" w:type="dxa"/>
          </w:tcPr>
          <w:p w14:paraId="46CFE118" w14:textId="77777777" w:rsidR="0052317D" w:rsidRPr="0036137D" w:rsidRDefault="0052317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w:t>
            </w:r>
          </w:p>
        </w:tc>
        <w:tc>
          <w:tcPr>
            <w:tcW w:w="1150" w:type="dxa"/>
          </w:tcPr>
          <w:p w14:paraId="2FFB3B9F" w14:textId="77777777" w:rsidR="0052317D" w:rsidRPr="0036137D" w:rsidRDefault="0052317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2.4</w:t>
            </w:r>
            <w:r w:rsidR="001E298D" w:rsidRPr="0036137D">
              <w:rPr>
                <w:rFonts w:asciiTheme="majorHAnsi" w:hAnsiTheme="majorHAnsi"/>
                <w:sz w:val="22"/>
                <w:szCs w:val="22"/>
              </w:rPr>
              <w:t>%</w:t>
            </w:r>
          </w:p>
        </w:tc>
      </w:tr>
      <w:tr w:rsidR="0052317D" w:rsidRPr="0036137D" w14:paraId="6A561453" w14:textId="77777777" w:rsidTr="00AC143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285" w:type="dxa"/>
          </w:tcPr>
          <w:p w14:paraId="15230F8D" w14:textId="77777777" w:rsidR="0052317D" w:rsidRPr="0036137D" w:rsidRDefault="0052317D" w:rsidP="00E43419">
            <w:pPr>
              <w:spacing w:before="20" w:after="20" w:line="240" w:lineRule="auto"/>
              <w:rPr>
                <w:rFonts w:asciiTheme="majorHAnsi" w:hAnsiTheme="majorHAnsi"/>
                <w:b w:val="0"/>
                <w:sz w:val="22"/>
                <w:szCs w:val="22"/>
              </w:rPr>
            </w:pPr>
            <w:r w:rsidRPr="0036137D">
              <w:rPr>
                <w:rFonts w:asciiTheme="majorHAnsi" w:hAnsiTheme="majorHAnsi"/>
                <w:b w:val="0"/>
                <w:sz w:val="22"/>
                <w:szCs w:val="22"/>
              </w:rPr>
              <w:t>F91 – Conduct disorders</w:t>
            </w:r>
          </w:p>
        </w:tc>
        <w:tc>
          <w:tcPr>
            <w:tcW w:w="915" w:type="dxa"/>
          </w:tcPr>
          <w:p w14:paraId="7D185209"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w:t>
            </w:r>
          </w:p>
        </w:tc>
        <w:tc>
          <w:tcPr>
            <w:tcW w:w="1150" w:type="dxa"/>
          </w:tcPr>
          <w:p w14:paraId="29101DDB" w14:textId="77777777" w:rsidR="0052317D" w:rsidRPr="0036137D" w:rsidRDefault="0052317D" w:rsidP="00E4341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2.4</w:t>
            </w:r>
            <w:r w:rsidR="001E298D" w:rsidRPr="0036137D">
              <w:rPr>
                <w:rFonts w:asciiTheme="majorHAnsi" w:hAnsiTheme="majorHAnsi"/>
                <w:sz w:val="22"/>
                <w:szCs w:val="22"/>
              </w:rPr>
              <w:t>%</w:t>
            </w:r>
          </w:p>
        </w:tc>
      </w:tr>
      <w:tr w:rsidR="00146C3D" w:rsidRPr="0036137D" w14:paraId="5AA20E0A" w14:textId="77777777" w:rsidTr="00AC143D">
        <w:trPr>
          <w:trHeight w:val="144"/>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0356B615" w14:textId="77777777" w:rsidR="00146C3D" w:rsidRPr="0036137D" w:rsidRDefault="00146C3D" w:rsidP="00E43419">
            <w:pPr>
              <w:spacing w:before="20" w:after="20" w:line="240" w:lineRule="auto"/>
              <w:rPr>
                <w:rFonts w:asciiTheme="majorHAnsi" w:hAnsiTheme="majorHAnsi"/>
                <w:b w:val="0"/>
                <w:bCs w:val="0"/>
                <w:sz w:val="22"/>
                <w:szCs w:val="22"/>
              </w:rPr>
            </w:pPr>
            <w:r w:rsidRPr="0036137D">
              <w:rPr>
                <w:rFonts w:asciiTheme="majorHAnsi" w:hAnsiTheme="majorHAnsi"/>
                <w:sz w:val="22"/>
                <w:szCs w:val="22"/>
              </w:rPr>
              <w:t>Total</w:t>
            </w:r>
          </w:p>
        </w:tc>
        <w:tc>
          <w:tcPr>
            <w:tcW w:w="915" w:type="dxa"/>
            <w:vAlign w:val="center"/>
          </w:tcPr>
          <w:p w14:paraId="3093F5C2" w14:textId="77777777" w:rsidR="00146C3D" w:rsidRPr="00E43419" w:rsidRDefault="001E298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2"/>
                <w:szCs w:val="22"/>
              </w:rPr>
            </w:pPr>
            <w:r w:rsidRPr="00E43419">
              <w:rPr>
                <w:rFonts w:asciiTheme="majorHAnsi" w:hAnsiTheme="majorHAnsi"/>
                <w:b/>
                <w:bCs/>
                <w:sz w:val="22"/>
                <w:szCs w:val="22"/>
              </w:rPr>
              <w:t>42</w:t>
            </w:r>
          </w:p>
        </w:tc>
        <w:tc>
          <w:tcPr>
            <w:tcW w:w="1150" w:type="dxa"/>
            <w:vAlign w:val="center"/>
          </w:tcPr>
          <w:p w14:paraId="3747DACF" w14:textId="77777777" w:rsidR="00146C3D" w:rsidRPr="00E43419" w:rsidRDefault="00146C3D" w:rsidP="00E4341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2"/>
                <w:szCs w:val="22"/>
              </w:rPr>
            </w:pPr>
            <w:r w:rsidRPr="00E43419">
              <w:rPr>
                <w:rFonts w:asciiTheme="majorHAnsi" w:hAnsiTheme="majorHAnsi"/>
                <w:b/>
                <w:bCs/>
                <w:sz w:val="22"/>
                <w:szCs w:val="22"/>
              </w:rPr>
              <w:t>100.0</w:t>
            </w:r>
            <w:r w:rsidR="001E298D" w:rsidRPr="00E43419">
              <w:rPr>
                <w:rFonts w:asciiTheme="majorHAnsi" w:hAnsiTheme="majorHAnsi"/>
                <w:b/>
                <w:bCs/>
                <w:sz w:val="22"/>
                <w:szCs w:val="22"/>
              </w:rPr>
              <w:t>%</w:t>
            </w:r>
          </w:p>
        </w:tc>
      </w:tr>
    </w:tbl>
    <w:p w14:paraId="1601837B" w14:textId="77777777" w:rsidR="00CB1685" w:rsidRDefault="00CB1685" w:rsidP="00CB1685">
      <w:pPr>
        <w:pStyle w:val="FigureSource"/>
      </w:pPr>
      <w:r>
        <w:t>Source: P</w:t>
      </w:r>
      <w:r w:rsidRPr="000879DE">
        <w:t xml:space="preserve">articipant-level data received through </w:t>
      </w:r>
      <w:r>
        <w:t>November 30, 2020</w:t>
      </w:r>
    </w:p>
    <w:p w14:paraId="531DC419" w14:textId="09552369" w:rsidR="002B2A12" w:rsidRDefault="00363B12" w:rsidP="00AC143D">
      <w:pPr>
        <w:spacing w:before="100" w:beforeAutospacing="1"/>
      </w:pPr>
      <w:r>
        <w:t xml:space="preserve">Exhibit 10 summarizes the participants’ housing, education, and employment status. </w:t>
      </w:r>
      <w:r w:rsidR="002B2A12">
        <w:t xml:space="preserve">Ninety-one percent of </w:t>
      </w:r>
      <w:r>
        <w:t xml:space="preserve">participants </w:t>
      </w:r>
      <w:r w:rsidR="002B2A12">
        <w:t>were stably housed</w:t>
      </w:r>
      <w:r w:rsidR="002B2A12" w:rsidRPr="002B2A12">
        <w:t xml:space="preserve"> </w:t>
      </w:r>
      <w:r w:rsidR="002B2A12">
        <w:t xml:space="preserve">while 9% lived in a shelter or institution at </w:t>
      </w:r>
      <w:r w:rsidR="009F26D1">
        <w:t>intake;</w:t>
      </w:r>
      <w:r w:rsidR="002B2A12">
        <w:t xml:space="preserve"> 48% lived in their own apartment, room or house and 41% live</w:t>
      </w:r>
      <w:r>
        <w:t>d</w:t>
      </w:r>
      <w:r w:rsidR="002B2A12">
        <w:t xml:space="preserve"> in someone else’s apartment, room, or house. </w:t>
      </w:r>
      <w:r>
        <w:t>N</w:t>
      </w:r>
      <w:r w:rsidR="00321894">
        <w:t>i</w:t>
      </w:r>
      <w:r>
        <w:t>nety-one</w:t>
      </w:r>
      <w:r w:rsidR="002B2A12">
        <w:t xml:space="preserve"> percent of </w:t>
      </w:r>
      <w:r w:rsidR="00867989">
        <w:t>participants</w:t>
      </w:r>
      <w:r w:rsidR="002B2A12">
        <w:t xml:space="preserve"> </w:t>
      </w:r>
      <w:r>
        <w:t xml:space="preserve">were </w:t>
      </w:r>
      <w:r w:rsidR="002B2A12">
        <w:t>enrolled full</w:t>
      </w:r>
      <w:r>
        <w:t>- or part-time</w:t>
      </w:r>
      <w:r w:rsidR="002B2A12">
        <w:t xml:space="preserve"> in school or job training and </w:t>
      </w:r>
      <w:r>
        <w:t>45</w:t>
      </w:r>
      <w:r w:rsidR="002B2A12">
        <w:t xml:space="preserve">% </w:t>
      </w:r>
      <w:r>
        <w:t>had a full- or part-time job.</w:t>
      </w:r>
    </w:p>
    <w:p w14:paraId="37F8D8B0" w14:textId="6EBE1F05" w:rsidR="00A04506" w:rsidRPr="00BC6E34" w:rsidRDefault="00DE0440" w:rsidP="008F3C56">
      <w:pPr>
        <w:pStyle w:val="ExhibitTitle"/>
      </w:pPr>
      <w:bookmarkStart w:id="55" w:name="_Toc64988280"/>
      <w:r w:rsidRPr="00BC6E34">
        <w:t xml:space="preserve">Exhibit </w:t>
      </w:r>
      <w:r w:rsidR="00B2442C">
        <w:t>10</w:t>
      </w:r>
      <w:r w:rsidR="00A04506" w:rsidRPr="00BC6E34">
        <w:t xml:space="preserve">. Housing, </w:t>
      </w:r>
      <w:r w:rsidR="00EB2C12" w:rsidRPr="00BC6E34">
        <w:t>education, and employment status</w:t>
      </w:r>
      <w:bookmarkEnd w:id="55"/>
    </w:p>
    <w:tbl>
      <w:tblPr>
        <w:tblStyle w:val="GridTable4-Accent51"/>
        <w:tblW w:w="0" w:type="auto"/>
        <w:tblLook w:val="04A0" w:firstRow="1" w:lastRow="0" w:firstColumn="1" w:lastColumn="0" w:noHBand="0" w:noVBand="1"/>
      </w:tblPr>
      <w:tblGrid>
        <w:gridCol w:w="4945"/>
        <w:gridCol w:w="630"/>
        <w:gridCol w:w="1080"/>
      </w:tblGrid>
      <w:tr w:rsidR="00A04506" w:rsidRPr="0036137D" w14:paraId="310AA44E" w14:textId="77777777" w:rsidTr="00E43419">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945" w:type="dxa"/>
          </w:tcPr>
          <w:p w14:paraId="609D971A" w14:textId="77777777" w:rsidR="00A04506" w:rsidRPr="0036137D" w:rsidRDefault="00A04506" w:rsidP="00E43419">
            <w:pPr>
              <w:spacing w:line="240" w:lineRule="auto"/>
              <w:rPr>
                <w:rFonts w:asciiTheme="majorHAnsi" w:hAnsiTheme="majorHAnsi"/>
                <w:color w:val="FFFFFF" w:themeColor="background1"/>
                <w:sz w:val="22"/>
                <w:szCs w:val="22"/>
              </w:rPr>
            </w:pPr>
          </w:p>
        </w:tc>
        <w:tc>
          <w:tcPr>
            <w:tcW w:w="630" w:type="dxa"/>
          </w:tcPr>
          <w:p w14:paraId="18BA9F02" w14:textId="77777777" w:rsidR="00A04506" w:rsidRPr="0036137D" w:rsidRDefault="00A04506" w:rsidP="00E4341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22"/>
                <w:szCs w:val="22"/>
              </w:rPr>
            </w:pPr>
            <w:r w:rsidRPr="0036137D">
              <w:rPr>
                <w:rFonts w:asciiTheme="majorHAnsi" w:hAnsiTheme="majorHAnsi"/>
                <w:color w:val="FFFFFF" w:themeColor="background1"/>
                <w:sz w:val="22"/>
                <w:szCs w:val="22"/>
              </w:rPr>
              <w:t>N</w:t>
            </w:r>
          </w:p>
        </w:tc>
        <w:tc>
          <w:tcPr>
            <w:tcW w:w="1080" w:type="dxa"/>
          </w:tcPr>
          <w:p w14:paraId="4A72CC0B" w14:textId="77777777" w:rsidR="00A04506" w:rsidRPr="0036137D" w:rsidRDefault="00A04506" w:rsidP="00E4341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22"/>
                <w:szCs w:val="22"/>
              </w:rPr>
            </w:pPr>
            <w:r w:rsidRPr="0036137D">
              <w:rPr>
                <w:rFonts w:asciiTheme="majorHAnsi" w:hAnsiTheme="majorHAnsi"/>
                <w:color w:val="FFFFFF" w:themeColor="background1"/>
                <w:sz w:val="22"/>
                <w:szCs w:val="22"/>
              </w:rPr>
              <w:t>%</w:t>
            </w:r>
          </w:p>
        </w:tc>
      </w:tr>
      <w:tr w:rsidR="00A04506" w:rsidRPr="0036137D" w14:paraId="516FC17E" w14:textId="77777777" w:rsidTr="00E4341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945" w:type="dxa"/>
          </w:tcPr>
          <w:p w14:paraId="004E03CE" w14:textId="77777777" w:rsidR="00A04506" w:rsidRPr="0036137D" w:rsidRDefault="00505137" w:rsidP="00E43419">
            <w:pPr>
              <w:spacing w:line="240" w:lineRule="auto"/>
              <w:rPr>
                <w:rFonts w:asciiTheme="majorHAnsi" w:hAnsiTheme="majorHAnsi"/>
                <w:sz w:val="22"/>
                <w:szCs w:val="22"/>
              </w:rPr>
            </w:pPr>
            <w:r w:rsidRPr="0036137D">
              <w:rPr>
                <w:rFonts w:asciiTheme="majorHAnsi" w:hAnsiTheme="majorHAnsi"/>
                <w:sz w:val="22"/>
                <w:szCs w:val="22"/>
              </w:rPr>
              <w:t xml:space="preserve">Past 30-Day </w:t>
            </w:r>
            <w:r w:rsidR="00A04506" w:rsidRPr="0036137D">
              <w:rPr>
                <w:rFonts w:asciiTheme="majorHAnsi" w:hAnsiTheme="majorHAnsi"/>
                <w:sz w:val="22"/>
                <w:szCs w:val="22"/>
              </w:rPr>
              <w:t>Housing Status</w:t>
            </w:r>
          </w:p>
        </w:tc>
        <w:tc>
          <w:tcPr>
            <w:tcW w:w="630" w:type="dxa"/>
            <w:vAlign w:val="center"/>
          </w:tcPr>
          <w:p w14:paraId="4BF4A38B" w14:textId="77777777" w:rsidR="00A04506" w:rsidRPr="0036137D" w:rsidRDefault="00A04506" w:rsidP="00E4341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1080" w:type="dxa"/>
            <w:vAlign w:val="center"/>
          </w:tcPr>
          <w:p w14:paraId="0332DDB3" w14:textId="77777777" w:rsidR="00A04506" w:rsidRPr="0036137D" w:rsidRDefault="00A04506" w:rsidP="00E4341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505137" w:rsidRPr="0036137D" w14:paraId="48AD4872" w14:textId="77777777" w:rsidTr="00E43419">
        <w:trPr>
          <w:trHeight w:val="144"/>
        </w:trPr>
        <w:tc>
          <w:tcPr>
            <w:cnfStyle w:val="001000000000" w:firstRow="0" w:lastRow="0" w:firstColumn="1" w:lastColumn="0" w:oddVBand="0" w:evenVBand="0" w:oddHBand="0" w:evenHBand="0" w:firstRowFirstColumn="0" w:firstRowLastColumn="0" w:lastRowFirstColumn="0" w:lastRowLastColumn="0"/>
            <w:tcW w:w="4945" w:type="dxa"/>
          </w:tcPr>
          <w:p w14:paraId="475ED1B9" w14:textId="669AAF6B" w:rsidR="00505137" w:rsidRPr="0036137D" w:rsidRDefault="00505137" w:rsidP="00E43419">
            <w:pPr>
              <w:spacing w:line="240" w:lineRule="auto"/>
              <w:ind w:left="251"/>
              <w:rPr>
                <w:rFonts w:asciiTheme="majorHAnsi" w:hAnsiTheme="majorHAnsi"/>
                <w:b w:val="0"/>
                <w:sz w:val="22"/>
                <w:szCs w:val="22"/>
              </w:rPr>
            </w:pPr>
            <w:r w:rsidRPr="0036137D">
              <w:rPr>
                <w:rFonts w:asciiTheme="majorHAnsi" w:hAnsiTheme="majorHAnsi"/>
                <w:b w:val="0"/>
                <w:sz w:val="22"/>
                <w:szCs w:val="22"/>
              </w:rPr>
              <w:t xml:space="preserve">Living in a </w:t>
            </w:r>
            <w:r w:rsidR="00336DFB" w:rsidRPr="0036137D">
              <w:rPr>
                <w:rFonts w:asciiTheme="majorHAnsi" w:hAnsiTheme="majorHAnsi"/>
                <w:b w:val="0"/>
                <w:sz w:val="22"/>
                <w:szCs w:val="22"/>
              </w:rPr>
              <w:t>shelter</w:t>
            </w:r>
          </w:p>
        </w:tc>
        <w:tc>
          <w:tcPr>
            <w:tcW w:w="630" w:type="dxa"/>
            <w:vAlign w:val="center"/>
          </w:tcPr>
          <w:p w14:paraId="1BA0739C" w14:textId="77777777" w:rsidR="00505137" w:rsidRPr="0036137D" w:rsidRDefault="00505137" w:rsidP="00E4341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w:t>
            </w:r>
          </w:p>
        </w:tc>
        <w:tc>
          <w:tcPr>
            <w:tcW w:w="1080" w:type="dxa"/>
            <w:vAlign w:val="center"/>
          </w:tcPr>
          <w:p w14:paraId="757FF37F" w14:textId="77777777" w:rsidR="00505137" w:rsidRPr="0036137D" w:rsidRDefault="00505137" w:rsidP="00E4341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2.3%</w:t>
            </w:r>
          </w:p>
        </w:tc>
      </w:tr>
      <w:tr w:rsidR="00CC0A78" w:rsidRPr="0036137D" w14:paraId="109CFFFC" w14:textId="77777777" w:rsidTr="00E4341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945" w:type="dxa"/>
          </w:tcPr>
          <w:p w14:paraId="3AC11A40" w14:textId="3AC89078" w:rsidR="00CC0A78" w:rsidRPr="0036137D" w:rsidRDefault="00CC0A78" w:rsidP="00E43419">
            <w:pPr>
              <w:spacing w:line="240" w:lineRule="auto"/>
              <w:ind w:left="251"/>
              <w:rPr>
                <w:rFonts w:asciiTheme="majorHAnsi" w:hAnsiTheme="majorHAnsi"/>
                <w:sz w:val="22"/>
                <w:szCs w:val="22"/>
              </w:rPr>
            </w:pPr>
            <w:r w:rsidRPr="0036137D">
              <w:rPr>
                <w:rFonts w:asciiTheme="majorHAnsi" w:hAnsiTheme="majorHAnsi"/>
                <w:b w:val="0"/>
                <w:sz w:val="22"/>
                <w:szCs w:val="22"/>
              </w:rPr>
              <w:t xml:space="preserve">Living in an </w:t>
            </w:r>
            <w:r w:rsidR="00336DFB" w:rsidRPr="0036137D">
              <w:rPr>
                <w:rFonts w:asciiTheme="majorHAnsi" w:hAnsiTheme="majorHAnsi"/>
                <w:b w:val="0"/>
                <w:sz w:val="22"/>
                <w:szCs w:val="22"/>
              </w:rPr>
              <w:t>institution</w:t>
            </w:r>
          </w:p>
        </w:tc>
        <w:tc>
          <w:tcPr>
            <w:tcW w:w="630" w:type="dxa"/>
            <w:vAlign w:val="center"/>
          </w:tcPr>
          <w:p w14:paraId="1D18E51D" w14:textId="77777777" w:rsidR="00CC0A78" w:rsidRPr="0036137D" w:rsidRDefault="00CC0A78" w:rsidP="00E4341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3</w:t>
            </w:r>
          </w:p>
        </w:tc>
        <w:tc>
          <w:tcPr>
            <w:tcW w:w="1080" w:type="dxa"/>
            <w:vAlign w:val="center"/>
          </w:tcPr>
          <w:p w14:paraId="5F1A5789" w14:textId="77777777" w:rsidR="00CC0A78" w:rsidRPr="0036137D" w:rsidRDefault="0082296B" w:rsidP="00E4341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6.8</w:t>
            </w:r>
            <w:r w:rsidR="00CC0A78" w:rsidRPr="0036137D">
              <w:rPr>
                <w:rFonts w:asciiTheme="majorHAnsi" w:hAnsiTheme="majorHAnsi"/>
                <w:sz w:val="22"/>
                <w:szCs w:val="22"/>
              </w:rPr>
              <w:t>%</w:t>
            </w:r>
          </w:p>
        </w:tc>
      </w:tr>
      <w:tr w:rsidR="00A04506" w:rsidRPr="0036137D" w14:paraId="05ECE968" w14:textId="77777777" w:rsidTr="00E43419">
        <w:trPr>
          <w:trHeight w:val="144"/>
        </w:trPr>
        <w:tc>
          <w:tcPr>
            <w:cnfStyle w:val="001000000000" w:firstRow="0" w:lastRow="0" w:firstColumn="1" w:lastColumn="0" w:oddVBand="0" w:evenVBand="0" w:oddHBand="0" w:evenHBand="0" w:firstRowFirstColumn="0" w:firstRowLastColumn="0" w:lastRowFirstColumn="0" w:lastRowLastColumn="0"/>
            <w:tcW w:w="4945" w:type="dxa"/>
          </w:tcPr>
          <w:p w14:paraId="72151885" w14:textId="77777777" w:rsidR="00A04506" w:rsidRPr="0036137D" w:rsidRDefault="00A04506" w:rsidP="00E43419">
            <w:pPr>
              <w:spacing w:line="240" w:lineRule="auto"/>
              <w:ind w:left="251"/>
              <w:rPr>
                <w:rFonts w:asciiTheme="majorHAnsi" w:hAnsiTheme="majorHAnsi"/>
                <w:b w:val="0"/>
                <w:sz w:val="22"/>
                <w:szCs w:val="22"/>
              </w:rPr>
            </w:pPr>
            <w:r w:rsidRPr="0036137D">
              <w:rPr>
                <w:rFonts w:asciiTheme="majorHAnsi" w:hAnsiTheme="majorHAnsi"/>
                <w:b w:val="0"/>
                <w:sz w:val="22"/>
                <w:szCs w:val="22"/>
              </w:rPr>
              <w:t>Housed</w:t>
            </w:r>
          </w:p>
        </w:tc>
        <w:tc>
          <w:tcPr>
            <w:tcW w:w="630" w:type="dxa"/>
            <w:vAlign w:val="center"/>
          </w:tcPr>
          <w:p w14:paraId="2E5AAC71" w14:textId="77777777" w:rsidR="00A04506" w:rsidRPr="0036137D" w:rsidRDefault="0082296B" w:rsidP="00E4341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40</w:t>
            </w:r>
          </w:p>
        </w:tc>
        <w:tc>
          <w:tcPr>
            <w:tcW w:w="1080" w:type="dxa"/>
            <w:vAlign w:val="center"/>
          </w:tcPr>
          <w:p w14:paraId="679623EB" w14:textId="77777777" w:rsidR="00A04506" w:rsidRPr="0036137D" w:rsidRDefault="0082296B" w:rsidP="00E4341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90.9</w:t>
            </w:r>
            <w:r w:rsidR="00A04506" w:rsidRPr="0036137D">
              <w:rPr>
                <w:rFonts w:asciiTheme="majorHAnsi" w:hAnsiTheme="majorHAnsi"/>
                <w:sz w:val="22"/>
                <w:szCs w:val="22"/>
              </w:rPr>
              <w:t>%</w:t>
            </w:r>
          </w:p>
        </w:tc>
      </w:tr>
      <w:tr w:rsidR="00A04506" w:rsidRPr="0036137D" w14:paraId="65462D3F" w14:textId="77777777" w:rsidTr="00E4341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945" w:type="dxa"/>
          </w:tcPr>
          <w:p w14:paraId="6CC2F7FF" w14:textId="77777777" w:rsidR="00A04506" w:rsidRPr="0036137D" w:rsidRDefault="00A04506" w:rsidP="00E43419">
            <w:pPr>
              <w:spacing w:line="240" w:lineRule="auto"/>
              <w:ind w:left="611"/>
              <w:rPr>
                <w:rFonts w:asciiTheme="majorHAnsi" w:hAnsiTheme="majorHAnsi"/>
                <w:b w:val="0"/>
                <w:sz w:val="22"/>
                <w:szCs w:val="22"/>
              </w:rPr>
            </w:pPr>
            <w:r w:rsidRPr="0036137D">
              <w:rPr>
                <w:rFonts w:asciiTheme="majorHAnsi" w:hAnsiTheme="majorHAnsi"/>
                <w:b w:val="0"/>
                <w:sz w:val="22"/>
                <w:szCs w:val="22"/>
              </w:rPr>
              <w:t>Own/rent apartment, room, or house</w:t>
            </w:r>
          </w:p>
        </w:tc>
        <w:tc>
          <w:tcPr>
            <w:tcW w:w="630" w:type="dxa"/>
            <w:vAlign w:val="center"/>
          </w:tcPr>
          <w:p w14:paraId="0EB0DAD7" w14:textId="77777777" w:rsidR="00A04506" w:rsidRPr="0036137D" w:rsidRDefault="0082296B" w:rsidP="00E4341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21</w:t>
            </w:r>
          </w:p>
        </w:tc>
        <w:tc>
          <w:tcPr>
            <w:tcW w:w="1080" w:type="dxa"/>
            <w:vAlign w:val="center"/>
          </w:tcPr>
          <w:p w14:paraId="31C81E7B" w14:textId="77777777" w:rsidR="00A04506" w:rsidRPr="0036137D" w:rsidRDefault="0082296B" w:rsidP="00E4341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47.7</w:t>
            </w:r>
            <w:r w:rsidR="00A04506" w:rsidRPr="0036137D">
              <w:rPr>
                <w:rFonts w:asciiTheme="majorHAnsi" w:hAnsiTheme="majorHAnsi"/>
                <w:sz w:val="22"/>
                <w:szCs w:val="22"/>
              </w:rPr>
              <w:t>%</w:t>
            </w:r>
          </w:p>
        </w:tc>
      </w:tr>
      <w:tr w:rsidR="00A04506" w:rsidRPr="0036137D" w14:paraId="3E69E6D3" w14:textId="77777777" w:rsidTr="00E43419">
        <w:trPr>
          <w:trHeight w:val="144"/>
        </w:trPr>
        <w:tc>
          <w:tcPr>
            <w:cnfStyle w:val="001000000000" w:firstRow="0" w:lastRow="0" w:firstColumn="1" w:lastColumn="0" w:oddVBand="0" w:evenVBand="0" w:oddHBand="0" w:evenHBand="0" w:firstRowFirstColumn="0" w:firstRowLastColumn="0" w:lastRowFirstColumn="0" w:lastRowLastColumn="0"/>
            <w:tcW w:w="4945" w:type="dxa"/>
          </w:tcPr>
          <w:p w14:paraId="5042BE8D" w14:textId="77777777" w:rsidR="00A04506" w:rsidRPr="0036137D" w:rsidRDefault="00A04506" w:rsidP="00E43419">
            <w:pPr>
              <w:spacing w:line="240" w:lineRule="auto"/>
              <w:ind w:left="611"/>
              <w:rPr>
                <w:rFonts w:asciiTheme="majorHAnsi" w:hAnsiTheme="majorHAnsi"/>
                <w:b w:val="0"/>
                <w:sz w:val="22"/>
                <w:szCs w:val="22"/>
              </w:rPr>
            </w:pPr>
            <w:r w:rsidRPr="0036137D">
              <w:rPr>
                <w:rFonts w:asciiTheme="majorHAnsi" w:hAnsiTheme="majorHAnsi"/>
                <w:b w:val="0"/>
                <w:sz w:val="22"/>
                <w:szCs w:val="22"/>
              </w:rPr>
              <w:t>Someone else’s apartment, room, or house</w:t>
            </w:r>
          </w:p>
        </w:tc>
        <w:tc>
          <w:tcPr>
            <w:tcW w:w="630" w:type="dxa"/>
            <w:vAlign w:val="center"/>
          </w:tcPr>
          <w:p w14:paraId="2B94F9F2" w14:textId="77777777" w:rsidR="00A04506" w:rsidRPr="0036137D" w:rsidRDefault="0082296B" w:rsidP="00E4341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18</w:t>
            </w:r>
          </w:p>
        </w:tc>
        <w:tc>
          <w:tcPr>
            <w:tcW w:w="1080" w:type="dxa"/>
            <w:vAlign w:val="center"/>
          </w:tcPr>
          <w:p w14:paraId="0D4580C6" w14:textId="77777777" w:rsidR="00A04506" w:rsidRPr="0036137D" w:rsidRDefault="0082296B" w:rsidP="00E4341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40.9</w:t>
            </w:r>
            <w:r w:rsidR="00A04506" w:rsidRPr="0036137D">
              <w:rPr>
                <w:rFonts w:asciiTheme="majorHAnsi" w:hAnsiTheme="majorHAnsi"/>
                <w:sz w:val="22"/>
                <w:szCs w:val="22"/>
              </w:rPr>
              <w:t>%</w:t>
            </w:r>
          </w:p>
        </w:tc>
      </w:tr>
      <w:tr w:rsidR="00CC0A78" w:rsidRPr="0036137D" w14:paraId="1ED9D423" w14:textId="77777777" w:rsidTr="00E4341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945" w:type="dxa"/>
          </w:tcPr>
          <w:p w14:paraId="7FC8FDA5" w14:textId="3A88815E" w:rsidR="00CC0A78" w:rsidRPr="0036137D" w:rsidRDefault="00CC0A78" w:rsidP="00E43419">
            <w:pPr>
              <w:spacing w:line="240" w:lineRule="auto"/>
              <w:ind w:left="611"/>
              <w:rPr>
                <w:rFonts w:asciiTheme="majorHAnsi" w:hAnsiTheme="majorHAnsi"/>
                <w:sz w:val="22"/>
                <w:szCs w:val="22"/>
              </w:rPr>
            </w:pPr>
            <w:r w:rsidRPr="0036137D">
              <w:rPr>
                <w:rFonts w:asciiTheme="majorHAnsi" w:hAnsiTheme="majorHAnsi"/>
                <w:b w:val="0"/>
                <w:sz w:val="22"/>
                <w:szCs w:val="22"/>
              </w:rPr>
              <w:t xml:space="preserve">Halfway </w:t>
            </w:r>
            <w:r w:rsidR="00EB2C12" w:rsidRPr="0036137D">
              <w:rPr>
                <w:rFonts w:asciiTheme="majorHAnsi" w:hAnsiTheme="majorHAnsi"/>
                <w:b w:val="0"/>
                <w:sz w:val="22"/>
                <w:szCs w:val="22"/>
              </w:rPr>
              <w:t>house</w:t>
            </w:r>
          </w:p>
        </w:tc>
        <w:tc>
          <w:tcPr>
            <w:tcW w:w="630" w:type="dxa"/>
            <w:vAlign w:val="center"/>
          </w:tcPr>
          <w:p w14:paraId="5CB7B0B4" w14:textId="77777777" w:rsidR="00CC0A78" w:rsidRPr="0036137D" w:rsidRDefault="00CC0A78" w:rsidP="00E4341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w:t>
            </w:r>
          </w:p>
        </w:tc>
        <w:tc>
          <w:tcPr>
            <w:tcW w:w="1080" w:type="dxa"/>
            <w:vAlign w:val="center"/>
          </w:tcPr>
          <w:p w14:paraId="0E02DCB5" w14:textId="77777777" w:rsidR="00CC0A78" w:rsidRPr="0036137D" w:rsidRDefault="0082296B" w:rsidP="00E4341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2.3</w:t>
            </w:r>
            <w:r w:rsidR="00CC0A78" w:rsidRPr="0036137D">
              <w:rPr>
                <w:rFonts w:asciiTheme="majorHAnsi" w:hAnsiTheme="majorHAnsi"/>
                <w:sz w:val="22"/>
                <w:szCs w:val="22"/>
              </w:rPr>
              <w:t>%</w:t>
            </w:r>
          </w:p>
        </w:tc>
      </w:tr>
      <w:tr w:rsidR="00A04506" w:rsidRPr="0036137D" w14:paraId="3234E2D1" w14:textId="77777777" w:rsidTr="00E43419">
        <w:trPr>
          <w:trHeight w:val="144"/>
        </w:trPr>
        <w:tc>
          <w:tcPr>
            <w:cnfStyle w:val="001000000000" w:firstRow="0" w:lastRow="0" w:firstColumn="1" w:lastColumn="0" w:oddVBand="0" w:evenVBand="0" w:oddHBand="0" w:evenHBand="0" w:firstRowFirstColumn="0" w:firstRowLastColumn="0" w:lastRowFirstColumn="0" w:lastRowLastColumn="0"/>
            <w:tcW w:w="4945" w:type="dxa"/>
          </w:tcPr>
          <w:p w14:paraId="25AC0807" w14:textId="77777777" w:rsidR="00A04506" w:rsidRPr="0036137D" w:rsidRDefault="00A04506" w:rsidP="00E43419">
            <w:pPr>
              <w:spacing w:line="240" w:lineRule="auto"/>
              <w:rPr>
                <w:rFonts w:asciiTheme="majorHAnsi" w:hAnsiTheme="majorHAnsi"/>
                <w:b w:val="0"/>
                <w:sz w:val="22"/>
                <w:szCs w:val="22"/>
              </w:rPr>
            </w:pPr>
            <w:r w:rsidRPr="0036137D">
              <w:rPr>
                <w:rFonts w:asciiTheme="majorHAnsi" w:hAnsiTheme="majorHAnsi"/>
                <w:sz w:val="22"/>
                <w:szCs w:val="22"/>
              </w:rPr>
              <w:t>Education</w:t>
            </w:r>
            <w:r w:rsidR="008F3CFE" w:rsidRPr="0036137D">
              <w:rPr>
                <w:rFonts w:asciiTheme="majorHAnsi" w:hAnsiTheme="majorHAnsi"/>
                <w:sz w:val="22"/>
                <w:szCs w:val="22"/>
              </w:rPr>
              <w:t xml:space="preserve"> or Job Training</w:t>
            </w:r>
            <w:r w:rsidRPr="0036137D">
              <w:rPr>
                <w:rFonts w:asciiTheme="majorHAnsi" w:hAnsiTheme="majorHAnsi"/>
                <w:sz w:val="22"/>
                <w:szCs w:val="22"/>
              </w:rPr>
              <w:t xml:space="preserve"> Status</w:t>
            </w:r>
          </w:p>
        </w:tc>
        <w:tc>
          <w:tcPr>
            <w:tcW w:w="630" w:type="dxa"/>
            <w:vAlign w:val="center"/>
          </w:tcPr>
          <w:p w14:paraId="53BCA8B1" w14:textId="77777777" w:rsidR="00A04506" w:rsidRPr="0036137D" w:rsidRDefault="00A04506" w:rsidP="00E4341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080" w:type="dxa"/>
            <w:vAlign w:val="center"/>
          </w:tcPr>
          <w:p w14:paraId="07A07854" w14:textId="77777777" w:rsidR="00A04506" w:rsidRPr="0036137D" w:rsidRDefault="00A04506" w:rsidP="00E4341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A04506" w:rsidRPr="0036137D" w14:paraId="3C174220" w14:textId="77777777" w:rsidTr="00E4341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945" w:type="dxa"/>
          </w:tcPr>
          <w:p w14:paraId="31EE3D86" w14:textId="77777777" w:rsidR="00A04506" w:rsidRPr="0036137D" w:rsidRDefault="00A04506" w:rsidP="00E43419">
            <w:pPr>
              <w:spacing w:line="240" w:lineRule="auto"/>
              <w:ind w:left="251"/>
              <w:rPr>
                <w:rFonts w:asciiTheme="majorHAnsi" w:hAnsiTheme="majorHAnsi"/>
                <w:b w:val="0"/>
                <w:sz w:val="22"/>
                <w:szCs w:val="22"/>
              </w:rPr>
            </w:pPr>
            <w:r w:rsidRPr="0036137D">
              <w:rPr>
                <w:rFonts w:asciiTheme="majorHAnsi" w:hAnsiTheme="majorHAnsi"/>
                <w:b w:val="0"/>
                <w:sz w:val="22"/>
                <w:szCs w:val="22"/>
              </w:rPr>
              <w:t xml:space="preserve">Not </w:t>
            </w:r>
            <w:r w:rsidR="00C82E6C" w:rsidRPr="0036137D">
              <w:rPr>
                <w:rFonts w:asciiTheme="majorHAnsi" w:hAnsiTheme="majorHAnsi"/>
                <w:b w:val="0"/>
                <w:sz w:val="22"/>
                <w:szCs w:val="22"/>
              </w:rPr>
              <w:t>e</w:t>
            </w:r>
            <w:r w:rsidRPr="0036137D">
              <w:rPr>
                <w:rFonts w:asciiTheme="majorHAnsi" w:hAnsiTheme="majorHAnsi"/>
                <w:b w:val="0"/>
                <w:sz w:val="22"/>
                <w:szCs w:val="22"/>
              </w:rPr>
              <w:t>nrolled</w:t>
            </w:r>
          </w:p>
        </w:tc>
        <w:tc>
          <w:tcPr>
            <w:tcW w:w="630" w:type="dxa"/>
            <w:vAlign w:val="center"/>
          </w:tcPr>
          <w:p w14:paraId="1BBB101A" w14:textId="77777777" w:rsidR="00A04506" w:rsidRPr="0036137D" w:rsidRDefault="0082296B" w:rsidP="00E4341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4</w:t>
            </w:r>
          </w:p>
        </w:tc>
        <w:tc>
          <w:tcPr>
            <w:tcW w:w="1080" w:type="dxa"/>
            <w:vAlign w:val="center"/>
          </w:tcPr>
          <w:p w14:paraId="726587CA" w14:textId="77777777" w:rsidR="00A04506" w:rsidRPr="0036137D" w:rsidRDefault="0082296B" w:rsidP="00E4341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9.3</w:t>
            </w:r>
            <w:r w:rsidR="00A04506" w:rsidRPr="0036137D">
              <w:rPr>
                <w:rFonts w:asciiTheme="majorHAnsi" w:hAnsiTheme="majorHAnsi"/>
                <w:sz w:val="22"/>
                <w:szCs w:val="22"/>
              </w:rPr>
              <w:t>%</w:t>
            </w:r>
          </w:p>
        </w:tc>
      </w:tr>
      <w:tr w:rsidR="00A04506" w:rsidRPr="0036137D" w14:paraId="05DFB55A" w14:textId="77777777" w:rsidTr="00E43419">
        <w:trPr>
          <w:trHeight w:val="144"/>
        </w:trPr>
        <w:tc>
          <w:tcPr>
            <w:cnfStyle w:val="001000000000" w:firstRow="0" w:lastRow="0" w:firstColumn="1" w:lastColumn="0" w:oddVBand="0" w:evenVBand="0" w:oddHBand="0" w:evenHBand="0" w:firstRowFirstColumn="0" w:firstRowLastColumn="0" w:lastRowFirstColumn="0" w:lastRowLastColumn="0"/>
            <w:tcW w:w="4945" w:type="dxa"/>
          </w:tcPr>
          <w:p w14:paraId="63509546" w14:textId="77777777" w:rsidR="00A04506" w:rsidRPr="0036137D" w:rsidRDefault="00A04506" w:rsidP="00E43419">
            <w:pPr>
              <w:spacing w:line="240" w:lineRule="auto"/>
              <w:ind w:left="251"/>
              <w:rPr>
                <w:rFonts w:asciiTheme="majorHAnsi" w:hAnsiTheme="majorHAnsi"/>
                <w:b w:val="0"/>
                <w:sz w:val="22"/>
                <w:szCs w:val="22"/>
              </w:rPr>
            </w:pPr>
            <w:r w:rsidRPr="0036137D">
              <w:rPr>
                <w:rFonts w:asciiTheme="majorHAnsi" w:hAnsiTheme="majorHAnsi"/>
                <w:b w:val="0"/>
                <w:sz w:val="22"/>
                <w:szCs w:val="22"/>
              </w:rPr>
              <w:t>Enrolled, full time</w:t>
            </w:r>
          </w:p>
        </w:tc>
        <w:tc>
          <w:tcPr>
            <w:tcW w:w="630" w:type="dxa"/>
            <w:vAlign w:val="center"/>
          </w:tcPr>
          <w:p w14:paraId="257B7B7E" w14:textId="77777777" w:rsidR="00A04506" w:rsidRPr="0036137D" w:rsidRDefault="0082296B" w:rsidP="00E4341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37</w:t>
            </w:r>
          </w:p>
        </w:tc>
        <w:tc>
          <w:tcPr>
            <w:tcW w:w="1080" w:type="dxa"/>
            <w:vAlign w:val="center"/>
          </w:tcPr>
          <w:p w14:paraId="0D3D5B2E" w14:textId="77777777" w:rsidR="00A04506" w:rsidRPr="0036137D" w:rsidRDefault="0082296B" w:rsidP="00E4341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86.0</w:t>
            </w:r>
            <w:r w:rsidR="00A04506" w:rsidRPr="0036137D">
              <w:rPr>
                <w:rFonts w:asciiTheme="majorHAnsi" w:hAnsiTheme="majorHAnsi"/>
                <w:sz w:val="22"/>
                <w:szCs w:val="22"/>
              </w:rPr>
              <w:t>%</w:t>
            </w:r>
          </w:p>
        </w:tc>
      </w:tr>
      <w:tr w:rsidR="00C82E6C" w:rsidRPr="0036137D" w14:paraId="4AF4DD5E" w14:textId="77777777" w:rsidTr="00E4341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945" w:type="dxa"/>
          </w:tcPr>
          <w:p w14:paraId="723CF5AA" w14:textId="77777777" w:rsidR="00C82E6C" w:rsidRPr="0036137D" w:rsidRDefault="00C82E6C" w:rsidP="00E43419">
            <w:pPr>
              <w:spacing w:line="240" w:lineRule="auto"/>
              <w:ind w:left="251"/>
              <w:rPr>
                <w:rFonts w:asciiTheme="majorHAnsi" w:hAnsiTheme="majorHAnsi"/>
                <w:b w:val="0"/>
                <w:sz w:val="22"/>
                <w:szCs w:val="22"/>
              </w:rPr>
            </w:pPr>
            <w:r w:rsidRPr="0036137D">
              <w:rPr>
                <w:rFonts w:asciiTheme="majorHAnsi" w:hAnsiTheme="majorHAnsi"/>
                <w:b w:val="0"/>
                <w:sz w:val="22"/>
                <w:szCs w:val="22"/>
              </w:rPr>
              <w:t>Enrolled, part time</w:t>
            </w:r>
          </w:p>
        </w:tc>
        <w:tc>
          <w:tcPr>
            <w:tcW w:w="630" w:type="dxa"/>
            <w:vAlign w:val="center"/>
          </w:tcPr>
          <w:p w14:paraId="27A96EE6" w14:textId="77777777" w:rsidR="00C82E6C" w:rsidRPr="0036137D" w:rsidRDefault="00CC0A78" w:rsidP="00E4341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w:t>
            </w:r>
          </w:p>
        </w:tc>
        <w:tc>
          <w:tcPr>
            <w:tcW w:w="1080" w:type="dxa"/>
            <w:vAlign w:val="center"/>
          </w:tcPr>
          <w:p w14:paraId="2A103603" w14:textId="77777777" w:rsidR="00C82E6C" w:rsidRPr="0036137D" w:rsidRDefault="0082296B" w:rsidP="00E4341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4.7</w:t>
            </w:r>
            <w:r w:rsidR="00C82E6C" w:rsidRPr="0036137D">
              <w:rPr>
                <w:rFonts w:asciiTheme="majorHAnsi" w:hAnsiTheme="majorHAnsi"/>
                <w:sz w:val="22"/>
                <w:szCs w:val="22"/>
              </w:rPr>
              <w:t>%</w:t>
            </w:r>
          </w:p>
        </w:tc>
      </w:tr>
      <w:tr w:rsidR="00A04506" w:rsidRPr="0036137D" w14:paraId="51D5974A" w14:textId="77777777" w:rsidTr="00E43419">
        <w:trPr>
          <w:trHeight w:val="144"/>
        </w:trPr>
        <w:tc>
          <w:tcPr>
            <w:cnfStyle w:val="001000000000" w:firstRow="0" w:lastRow="0" w:firstColumn="1" w:lastColumn="0" w:oddVBand="0" w:evenVBand="0" w:oddHBand="0" w:evenHBand="0" w:firstRowFirstColumn="0" w:firstRowLastColumn="0" w:lastRowFirstColumn="0" w:lastRowLastColumn="0"/>
            <w:tcW w:w="4945" w:type="dxa"/>
          </w:tcPr>
          <w:p w14:paraId="2EDD358B" w14:textId="77777777" w:rsidR="00A04506" w:rsidRPr="0036137D" w:rsidRDefault="00A04506" w:rsidP="00E43419">
            <w:pPr>
              <w:spacing w:line="240" w:lineRule="auto"/>
              <w:rPr>
                <w:rFonts w:asciiTheme="majorHAnsi" w:hAnsiTheme="majorHAnsi"/>
                <w:b w:val="0"/>
                <w:sz w:val="22"/>
                <w:szCs w:val="22"/>
              </w:rPr>
            </w:pPr>
            <w:r w:rsidRPr="0036137D">
              <w:rPr>
                <w:rFonts w:asciiTheme="majorHAnsi" w:hAnsiTheme="majorHAnsi"/>
                <w:sz w:val="22"/>
                <w:szCs w:val="22"/>
              </w:rPr>
              <w:t>Employment Status</w:t>
            </w:r>
          </w:p>
        </w:tc>
        <w:tc>
          <w:tcPr>
            <w:tcW w:w="630" w:type="dxa"/>
            <w:vAlign w:val="center"/>
          </w:tcPr>
          <w:p w14:paraId="775BD987" w14:textId="77777777" w:rsidR="00A04506" w:rsidRPr="0036137D" w:rsidRDefault="00A04506" w:rsidP="00E4341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080" w:type="dxa"/>
            <w:vAlign w:val="center"/>
          </w:tcPr>
          <w:p w14:paraId="19B50D8D" w14:textId="77777777" w:rsidR="00A04506" w:rsidRPr="0036137D" w:rsidRDefault="00A04506" w:rsidP="00E4341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A04506" w:rsidRPr="0036137D" w14:paraId="03FBB212" w14:textId="77777777" w:rsidTr="00E4341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945" w:type="dxa"/>
          </w:tcPr>
          <w:p w14:paraId="0A19CD26" w14:textId="77777777" w:rsidR="00A04506" w:rsidRPr="0036137D" w:rsidRDefault="00A04506" w:rsidP="00E43419">
            <w:pPr>
              <w:spacing w:line="240" w:lineRule="auto"/>
              <w:ind w:left="251"/>
              <w:rPr>
                <w:rFonts w:asciiTheme="majorHAnsi" w:hAnsiTheme="majorHAnsi"/>
                <w:b w:val="0"/>
                <w:sz w:val="22"/>
                <w:szCs w:val="22"/>
              </w:rPr>
            </w:pPr>
            <w:r w:rsidRPr="0036137D">
              <w:rPr>
                <w:rFonts w:asciiTheme="majorHAnsi" w:hAnsiTheme="majorHAnsi"/>
                <w:b w:val="0"/>
                <w:sz w:val="22"/>
                <w:szCs w:val="22"/>
              </w:rPr>
              <w:t>Employed full or part time</w:t>
            </w:r>
          </w:p>
        </w:tc>
        <w:tc>
          <w:tcPr>
            <w:tcW w:w="630" w:type="dxa"/>
            <w:vAlign w:val="center"/>
          </w:tcPr>
          <w:p w14:paraId="1ADFE76D" w14:textId="77777777" w:rsidR="00A04506" w:rsidRPr="0036137D" w:rsidRDefault="0082296B" w:rsidP="00E4341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19</w:t>
            </w:r>
          </w:p>
        </w:tc>
        <w:tc>
          <w:tcPr>
            <w:tcW w:w="1080" w:type="dxa"/>
            <w:vAlign w:val="center"/>
          </w:tcPr>
          <w:p w14:paraId="1ABDF20E" w14:textId="77777777" w:rsidR="00A04506" w:rsidRPr="0036137D" w:rsidRDefault="0082296B" w:rsidP="00E4341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45.2</w:t>
            </w:r>
            <w:r w:rsidR="00A04506" w:rsidRPr="0036137D">
              <w:rPr>
                <w:rFonts w:asciiTheme="majorHAnsi" w:hAnsiTheme="majorHAnsi"/>
                <w:sz w:val="22"/>
                <w:szCs w:val="22"/>
              </w:rPr>
              <w:t>%</w:t>
            </w:r>
          </w:p>
        </w:tc>
      </w:tr>
      <w:tr w:rsidR="00A04506" w:rsidRPr="0036137D" w14:paraId="3395D01F" w14:textId="77777777" w:rsidTr="00E43419">
        <w:trPr>
          <w:trHeight w:val="144"/>
        </w:trPr>
        <w:tc>
          <w:tcPr>
            <w:cnfStyle w:val="001000000000" w:firstRow="0" w:lastRow="0" w:firstColumn="1" w:lastColumn="0" w:oddVBand="0" w:evenVBand="0" w:oddHBand="0" w:evenHBand="0" w:firstRowFirstColumn="0" w:firstRowLastColumn="0" w:lastRowFirstColumn="0" w:lastRowLastColumn="0"/>
            <w:tcW w:w="4945" w:type="dxa"/>
          </w:tcPr>
          <w:p w14:paraId="69EB0BBE" w14:textId="77777777" w:rsidR="00A04506" w:rsidRPr="0036137D" w:rsidRDefault="00A04506" w:rsidP="00E43419">
            <w:pPr>
              <w:spacing w:line="240" w:lineRule="auto"/>
              <w:ind w:left="251"/>
              <w:rPr>
                <w:rFonts w:asciiTheme="majorHAnsi" w:hAnsiTheme="majorHAnsi"/>
                <w:b w:val="0"/>
                <w:sz w:val="22"/>
                <w:szCs w:val="22"/>
              </w:rPr>
            </w:pPr>
            <w:r w:rsidRPr="0036137D">
              <w:rPr>
                <w:rFonts w:asciiTheme="majorHAnsi" w:hAnsiTheme="majorHAnsi"/>
                <w:b w:val="0"/>
                <w:sz w:val="22"/>
                <w:szCs w:val="22"/>
              </w:rPr>
              <w:t>Unemployed</w:t>
            </w:r>
          </w:p>
        </w:tc>
        <w:tc>
          <w:tcPr>
            <w:tcW w:w="630" w:type="dxa"/>
            <w:vAlign w:val="center"/>
          </w:tcPr>
          <w:p w14:paraId="792E627E" w14:textId="77777777" w:rsidR="00A04506" w:rsidRPr="0036137D" w:rsidRDefault="0082296B" w:rsidP="00E4341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23</w:t>
            </w:r>
          </w:p>
        </w:tc>
        <w:tc>
          <w:tcPr>
            <w:tcW w:w="1080" w:type="dxa"/>
            <w:vAlign w:val="center"/>
          </w:tcPr>
          <w:p w14:paraId="03858040" w14:textId="77777777" w:rsidR="00A04506" w:rsidRPr="0036137D" w:rsidRDefault="00CC0A78" w:rsidP="00E4341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6137D">
              <w:rPr>
                <w:rFonts w:asciiTheme="majorHAnsi" w:hAnsiTheme="majorHAnsi"/>
                <w:sz w:val="22"/>
                <w:szCs w:val="22"/>
              </w:rPr>
              <w:t>5</w:t>
            </w:r>
            <w:r w:rsidR="0082296B" w:rsidRPr="0036137D">
              <w:rPr>
                <w:rFonts w:asciiTheme="majorHAnsi" w:hAnsiTheme="majorHAnsi"/>
                <w:sz w:val="22"/>
                <w:szCs w:val="22"/>
              </w:rPr>
              <w:t>4</w:t>
            </w:r>
            <w:r w:rsidRPr="0036137D">
              <w:rPr>
                <w:rFonts w:asciiTheme="majorHAnsi" w:hAnsiTheme="majorHAnsi"/>
                <w:sz w:val="22"/>
                <w:szCs w:val="22"/>
              </w:rPr>
              <w:t>.8</w:t>
            </w:r>
            <w:r w:rsidR="00A04506" w:rsidRPr="0036137D">
              <w:rPr>
                <w:rFonts w:asciiTheme="majorHAnsi" w:hAnsiTheme="majorHAnsi"/>
                <w:sz w:val="22"/>
                <w:szCs w:val="22"/>
              </w:rPr>
              <w:t>%</w:t>
            </w:r>
          </w:p>
        </w:tc>
      </w:tr>
    </w:tbl>
    <w:p w14:paraId="155E09EF" w14:textId="77777777" w:rsidR="001D1A0E" w:rsidRDefault="001D1A0E" w:rsidP="001D1A0E">
      <w:pPr>
        <w:pStyle w:val="FigureSource"/>
      </w:pPr>
      <w:r>
        <w:t>Source: P</w:t>
      </w:r>
      <w:r w:rsidRPr="000879DE">
        <w:t xml:space="preserve">articipant-level data received through </w:t>
      </w:r>
      <w:r>
        <w:t>November 30, 2020</w:t>
      </w:r>
    </w:p>
    <w:p w14:paraId="53AFD30A" w14:textId="77777777" w:rsidR="00363B12" w:rsidRDefault="00560463" w:rsidP="00363B12">
      <w:r>
        <w:lastRenderedPageBreak/>
        <w:t xml:space="preserve">Exhibit 11 maps the zip code areas of the participants. </w:t>
      </w:r>
      <w:r w:rsidR="00363B12">
        <w:t>The majority live in and around Greater Nashua</w:t>
      </w:r>
      <w:r>
        <w:t>, Concord,</w:t>
      </w:r>
      <w:r w:rsidR="00363B12">
        <w:t xml:space="preserve"> and Manchester.</w:t>
      </w:r>
    </w:p>
    <w:p w14:paraId="03AC391F" w14:textId="7C04F5C8" w:rsidR="008D16E0" w:rsidRPr="00BC6E34" w:rsidRDefault="00DE0440" w:rsidP="00AC143D">
      <w:pPr>
        <w:pStyle w:val="ExhibitTitle"/>
        <w:spacing w:before="240"/>
      </w:pPr>
      <w:bookmarkStart w:id="56" w:name="_Toc64988281"/>
      <w:r w:rsidRPr="00BC6E34">
        <w:t xml:space="preserve">Exhibit </w:t>
      </w:r>
      <w:r w:rsidR="00B2442C">
        <w:t>11</w:t>
      </w:r>
      <w:r w:rsidR="008D16E0" w:rsidRPr="00BC6E34">
        <w:t xml:space="preserve">. Geographic </w:t>
      </w:r>
      <w:r w:rsidR="00EB2C12" w:rsidRPr="00BC6E34">
        <w:t xml:space="preserve">distribution of </w:t>
      </w:r>
      <w:r w:rsidR="00EB2C12">
        <w:t>program participants</w:t>
      </w:r>
      <w:r w:rsidR="00EB2C12" w:rsidRPr="00BC6E34">
        <w:t>, by zip code</w:t>
      </w:r>
      <w:r w:rsidR="00EB2C12">
        <w:t xml:space="preserve"> area</w:t>
      </w:r>
      <w:bookmarkEnd w:id="56"/>
    </w:p>
    <w:p w14:paraId="01180C78" w14:textId="77777777" w:rsidR="0035176B" w:rsidRDefault="00AE236E" w:rsidP="00E43419">
      <w:pPr>
        <w:spacing w:after="0"/>
        <w:rPr>
          <w:lang w:eastAsia="ja-JP"/>
        </w:rPr>
      </w:pPr>
      <w:r w:rsidRPr="00AE236E">
        <w:rPr>
          <w:noProof/>
        </w:rPr>
        <w:t xml:space="preserve"> </w:t>
      </w:r>
      <w:r w:rsidR="00FA6E55" w:rsidRPr="003F51E2">
        <w:rPr>
          <w:noProof/>
        </w:rPr>
        <w:drawing>
          <wp:inline distT="0" distB="0" distL="0" distR="0" wp14:anchorId="38B7AB8E" wp14:editId="25F2A53B">
            <wp:extent cx="2717320" cy="4941873"/>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833" b="2600"/>
                    <a:stretch/>
                  </pic:blipFill>
                  <pic:spPr bwMode="auto">
                    <a:xfrm>
                      <a:off x="0" y="0"/>
                      <a:ext cx="2742727" cy="4988080"/>
                    </a:xfrm>
                    <a:prstGeom prst="rect">
                      <a:avLst/>
                    </a:prstGeom>
                    <a:ln>
                      <a:noFill/>
                    </a:ln>
                    <a:extLst>
                      <a:ext uri="{53640926-AAD7-44D8-BBD7-CCE9431645EC}">
                        <a14:shadowObscured xmlns:a14="http://schemas.microsoft.com/office/drawing/2010/main"/>
                      </a:ext>
                    </a:extLst>
                  </pic:spPr>
                </pic:pic>
              </a:graphicData>
            </a:graphic>
          </wp:inline>
        </w:drawing>
      </w:r>
    </w:p>
    <w:p w14:paraId="12A2FF89" w14:textId="77777777" w:rsidR="001D1A0E" w:rsidRDefault="001D1A0E" w:rsidP="001D1A0E">
      <w:pPr>
        <w:pStyle w:val="FigureSource"/>
      </w:pPr>
      <w:r>
        <w:t>Source: P</w:t>
      </w:r>
      <w:r w:rsidRPr="000879DE">
        <w:t xml:space="preserve">articipant-level data received through </w:t>
      </w:r>
      <w:r>
        <w:t>November 30, 2020</w:t>
      </w:r>
    </w:p>
    <w:p w14:paraId="1D16E059" w14:textId="77777777" w:rsidR="00690BEC" w:rsidRDefault="00455F0A" w:rsidP="00F0643C">
      <w:pPr>
        <w:pStyle w:val="Heading2"/>
      </w:pPr>
      <w:bookmarkStart w:id="57" w:name="_Toc64988260"/>
      <w:r>
        <w:t>Planned Services</w:t>
      </w:r>
      <w:bookmarkEnd w:id="57"/>
    </w:p>
    <w:p w14:paraId="11A97FE1" w14:textId="625165E4" w:rsidR="00455F0A" w:rsidRPr="004415AF" w:rsidRDefault="00551FB0" w:rsidP="00DD0F87">
      <w:r>
        <w:rPr>
          <w:lang w:eastAsia="ja-JP"/>
        </w:rPr>
        <w:t>The</w:t>
      </w:r>
      <w:r w:rsidR="00455F0A">
        <w:rPr>
          <w:lang w:eastAsia="ja-JP"/>
        </w:rPr>
        <w:t xml:space="preserve"> GPRA intake survey </w:t>
      </w:r>
      <w:r>
        <w:rPr>
          <w:lang w:eastAsia="ja-JP"/>
        </w:rPr>
        <w:t xml:space="preserve">asks provider site staff to indicate, for each </w:t>
      </w:r>
      <w:r w:rsidR="00413778">
        <w:rPr>
          <w:lang w:eastAsia="ja-JP"/>
        </w:rPr>
        <w:t>participant</w:t>
      </w:r>
      <w:r>
        <w:rPr>
          <w:lang w:eastAsia="ja-JP"/>
        </w:rPr>
        <w:t xml:space="preserve">, </w:t>
      </w:r>
      <w:r w:rsidR="00455F0A">
        <w:rPr>
          <w:lang w:eastAsia="ja-JP"/>
        </w:rPr>
        <w:t xml:space="preserve">the services </w:t>
      </w:r>
      <w:r w:rsidR="00455F0A" w:rsidRPr="00DD0F87">
        <w:rPr>
          <w:i/>
          <w:lang w:eastAsia="ja-JP"/>
        </w:rPr>
        <w:t>planned</w:t>
      </w:r>
      <w:r w:rsidR="00455F0A">
        <w:rPr>
          <w:lang w:eastAsia="ja-JP"/>
        </w:rPr>
        <w:t xml:space="preserve"> </w:t>
      </w:r>
      <w:r>
        <w:rPr>
          <w:lang w:eastAsia="ja-JP"/>
        </w:rPr>
        <w:t xml:space="preserve">for the </w:t>
      </w:r>
      <w:r w:rsidR="00413778">
        <w:rPr>
          <w:lang w:eastAsia="ja-JP"/>
        </w:rPr>
        <w:t>participant</w:t>
      </w:r>
      <w:r>
        <w:rPr>
          <w:lang w:eastAsia="ja-JP"/>
        </w:rPr>
        <w:t xml:space="preserve"> throughout his or her engagement in the program. </w:t>
      </w:r>
      <w:r w:rsidR="00455F0A">
        <w:rPr>
          <w:lang w:eastAsia="ja-JP"/>
        </w:rPr>
        <w:t xml:space="preserve"> </w:t>
      </w:r>
      <w:r>
        <w:rPr>
          <w:lang w:eastAsia="ja-JP"/>
        </w:rPr>
        <w:t xml:space="preserve">These services are part of the </w:t>
      </w:r>
      <w:r w:rsidR="00413778">
        <w:rPr>
          <w:lang w:eastAsia="ja-JP"/>
        </w:rPr>
        <w:t>participant</w:t>
      </w:r>
      <w:r>
        <w:rPr>
          <w:lang w:eastAsia="ja-JP"/>
        </w:rPr>
        <w:t xml:space="preserve">’s treatment plan. Exhibits </w:t>
      </w:r>
      <w:r w:rsidR="00EB2C12">
        <w:rPr>
          <w:lang w:eastAsia="ja-JP"/>
        </w:rPr>
        <w:t xml:space="preserve">12 </w:t>
      </w:r>
      <w:r>
        <w:rPr>
          <w:lang w:eastAsia="ja-JP"/>
        </w:rPr>
        <w:t xml:space="preserve">through </w:t>
      </w:r>
      <w:r w:rsidR="00EB2C12">
        <w:rPr>
          <w:lang w:eastAsia="ja-JP"/>
        </w:rPr>
        <w:t xml:space="preserve">18 </w:t>
      </w:r>
      <w:r>
        <w:rPr>
          <w:lang w:eastAsia="ja-JP"/>
        </w:rPr>
        <w:t xml:space="preserve">present the planned services for the </w:t>
      </w:r>
      <w:r w:rsidR="00F855C3">
        <w:rPr>
          <w:lang w:eastAsia="ja-JP"/>
        </w:rPr>
        <w:t>44</w:t>
      </w:r>
      <w:r>
        <w:rPr>
          <w:lang w:eastAsia="ja-JP"/>
        </w:rPr>
        <w:t xml:space="preserve"> </w:t>
      </w:r>
      <w:r w:rsidR="008411CA">
        <w:rPr>
          <w:lang w:eastAsia="ja-JP"/>
        </w:rPr>
        <w:t xml:space="preserve">participants </w:t>
      </w:r>
      <w:r>
        <w:rPr>
          <w:lang w:eastAsia="ja-JP"/>
        </w:rPr>
        <w:t xml:space="preserve">for whom intake data were available by the end of </w:t>
      </w:r>
      <w:r w:rsidR="00F855C3">
        <w:rPr>
          <w:lang w:eastAsia="ja-JP"/>
        </w:rPr>
        <w:t>November</w:t>
      </w:r>
      <w:r>
        <w:rPr>
          <w:lang w:eastAsia="ja-JP"/>
        </w:rPr>
        <w:t xml:space="preserve"> 20</w:t>
      </w:r>
      <w:r w:rsidR="00F855C3">
        <w:rPr>
          <w:lang w:eastAsia="ja-JP"/>
        </w:rPr>
        <w:t>20</w:t>
      </w:r>
      <w:r>
        <w:rPr>
          <w:lang w:eastAsia="ja-JP"/>
        </w:rPr>
        <w:t xml:space="preserve">. At discharge, program staff record the services each </w:t>
      </w:r>
      <w:r w:rsidR="008411CA">
        <w:rPr>
          <w:lang w:eastAsia="ja-JP"/>
        </w:rPr>
        <w:t xml:space="preserve">participant </w:t>
      </w:r>
      <w:r>
        <w:rPr>
          <w:lang w:eastAsia="ja-JP"/>
        </w:rPr>
        <w:t>actually received</w:t>
      </w:r>
      <w:r w:rsidR="008411CA">
        <w:rPr>
          <w:lang w:eastAsia="ja-JP"/>
        </w:rPr>
        <w:t>. Currently, we do not have a sufficient number of discharge surveys to assess the degree to which the treatment plan was implemented. As more participants are discharged and the sample size becomes sufficient for analysis</w:t>
      </w:r>
      <w:r>
        <w:rPr>
          <w:lang w:eastAsia="ja-JP"/>
        </w:rPr>
        <w:t xml:space="preserve">, </w:t>
      </w:r>
      <w:r w:rsidR="008411CA">
        <w:rPr>
          <w:lang w:eastAsia="ja-JP"/>
        </w:rPr>
        <w:t>we will compare the treatment plans developed at intake to services provided as reported at discharge.</w:t>
      </w:r>
    </w:p>
    <w:p w14:paraId="2E9B85C9" w14:textId="4DC596EA" w:rsidR="008E6A50" w:rsidRPr="00BC6E34" w:rsidRDefault="00DE0440" w:rsidP="008F3C56">
      <w:pPr>
        <w:pStyle w:val="ExhibitTitle"/>
      </w:pPr>
      <w:bookmarkStart w:id="58" w:name="_Toc64988282"/>
      <w:r w:rsidRPr="00BC6E34">
        <w:lastRenderedPageBreak/>
        <w:t xml:space="preserve">Exhibit </w:t>
      </w:r>
      <w:r w:rsidR="00146C3D" w:rsidRPr="00BC6E34">
        <w:t>1</w:t>
      </w:r>
      <w:r w:rsidR="00B2442C">
        <w:t>2</w:t>
      </w:r>
      <w:r w:rsidR="008E6A50" w:rsidRPr="00BC6E34">
        <w:t xml:space="preserve">. Planned </w:t>
      </w:r>
      <w:r w:rsidR="002B2129" w:rsidRPr="00BC6E34">
        <w:t xml:space="preserve">Services </w:t>
      </w:r>
      <w:r w:rsidR="00D15E27" w:rsidRPr="00BC6E34">
        <w:t>– Modality</w:t>
      </w:r>
      <w:bookmarkEnd w:id="58"/>
    </w:p>
    <w:p w14:paraId="1F684434" w14:textId="77777777" w:rsidR="00144A39" w:rsidRPr="00D15E27" w:rsidRDefault="00144A39" w:rsidP="00E43419">
      <w:pPr>
        <w:spacing w:after="40" w:line="240" w:lineRule="auto"/>
        <w:rPr>
          <w:lang w:eastAsia="ja-JP"/>
        </w:rPr>
      </w:pPr>
      <w:r>
        <w:rPr>
          <w:noProof/>
        </w:rPr>
        <w:drawing>
          <wp:inline distT="0" distB="0" distL="0" distR="0" wp14:anchorId="3B0BF332" wp14:editId="477832A9">
            <wp:extent cx="5943600" cy="2587924"/>
            <wp:effectExtent l="0" t="0" r="0" b="3175"/>
            <wp:docPr id="32" name="Chart 32">
              <a:extLst xmlns:a="http://schemas.openxmlformats.org/drawingml/2006/main">
                <a:ext uri="{FF2B5EF4-FFF2-40B4-BE49-F238E27FC236}">
                  <a16:creationId xmlns:a16="http://schemas.microsoft.com/office/drawing/2014/main" id="{FC6FD31A-779B-4525-8A77-44A0BBF17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0D485B" w14:textId="77777777" w:rsidR="001D1A0E" w:rsidRDefault="001D1A0E" w:rsidP="001D1A0E">
      <w:pPr>
        <w:pStyle w:val="FigureSource"/>
      </w:pPr>
      <w:r>
        <w:t>Source: P</w:t>
      </w:r>
      <w:r w:rsidRPr="000879DE">
        <w:t xml:space="preserve">articipant-level data received through </w:t>
      </w:r>
      <w:r>
        <w:t>November 30, 2020</w:t>
      </w:r>
    </w:p>
    <w:p w14:paraId="5E9DBBDD" w14:textId="2A34E0FE" w:rsidR="008567DA" w:rsidRPr="00BC6E34" w:rsidRDefault="00DE0440" w:rsidP="008F3C56">
      <w:pPr>
        <w:pStyle w:val="ExhibitTitle"/>
      </w:pPr>
      <w:bookmarkStart w:id="59" w:name="_Toc64988283"/>
      <w:r w:rsidRPr="00BC6E34">
        <w:t xml:space="preserve">Exhibit </w:t>
      </w:r>
      <w:r w:rsidR="00146C3D" w:rsidRPr="00BC6E34">
        <w:t>1</w:t>
      </w:r>
      <w:r w:rsidR="00B2442C">
        <w:t>3</w:t>
      </w:r>
      <w:r w:rsidR="008567DA" w:rsidRPr="00BC6E34">
        <w:t xml:space="preserve">. Planned </w:t>
      </w:r>
      <w:r w:rsidR="002B2129" w:rsidRPr="00BC6E34">
        <w:t xml:space="preserve">Services </w:t>
      </w:r>
      <w:r w:rsidR="008567DA" w:rsidRPr="00BC6E34">
        <w:t xml:space="preserve">– Treatment </w:t>
      </w:r>
      <w:r w:rsidR="002B2129" w:rsidRPr="00BC6E34">
        <w:t>Services</w:t>
      </w:r>
      <w:bookmarkEnd w:id="59"/>
    </w:p>
    <w:p w14:paraId="643CE5A0" w14:textId="77777777" w:rsidR="00144A39" w:rsidRDefault="00144A39" w:rsidP="00E43419">
      <w:pPr>
        <w:pStyle w:val="FigureSource"/>
        <w:spacing w:after="0"/>
      </w:pPr>
      <w:r>
        <w:rPr>
          <w:noProof/>
        </w:rPr>
        <w:drawing>
          <wp:inline distT="0" distB="0" distL="0" distR="0" wp14:anchorId="70CE4C1A" wp14:editId="693C4D91">
            <wp:extent cx="5943600" cy="3579962"/>
            <wp:effectExtent l="0" t="0" r="0" b="1905"/>
            <wp:docPr id="33" name="Chart 33">
              <a:extLst xmlns:a="http://schemas.openxmlformats.org/drawingml/2006/main">
                <a:ext uri="{FF2B5EF4-FFF2-40B4-BE49-F238E27FC236}">
                  <a16:creationId xmlns:a16="http://schemas.microsoft.com/office/drawing/2014/main" id="{3F6286A1-AF32-4E4F-9D2B-F0C2EE668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420AE3" w14:textId="77777777" w:rsidR="001D1A0E" w:rsidRDefault="001D1A0E" w:rsidP="001D1A0E">
      <w:pPr>
        <w:pStyle w:val="FigureSource"/>
      </w:pPr>
      <w:r>
        <w:t>Source: P</w:t>
      </w:r>
      <w:r w:rsidRPr="000879DE">
        <w:t xml:space="preserve">articipant-level data received through </w:t>
      </w:r>
      <w:r>
        <w:t>November 30, 2020</w:t>
      </w:r>
    </w:p>
    <w:p w14:paraId="73A85F2F" w14:textId="77777777" w:rsidR="00140D9B" w:rsidRPr="00BC6E34" w:rsidRDefault="00DE0440" w:rsidP="008F3C56">
      <w:pPr>
        <w:pStyle w:val="ExhibitTitle"/>
      </w:pPr>
      <w:bookmarkStart w:id="60" w:name="_Toc64988284"/>
      <w:r w:rsidRPr="00BC6E34">
        <w:lastRenderedPageBreak/>
        <w:t>Exhibit 1</w:t>
      </w:r>
      <w:r w:rsidR="00B2442C">
        <w:t>4</w:t>
      </w:r>
      <w:r w:rsidR="00140D9B" w:rsidRPr="00BC6E34">
        <w:t xml:space="preserve">. Planned Services – </w:t>
      </w:r>
      <w:r w:rsidR="006F16F8" w:rsidRPr="00BC6E34">
        <w:t>Case Management</w:t>
      </w:r>
      <w:r w:rsidR="00140D9B" w:rsidRPr="00BC6E34">
        <w:t xml:space="preserve"> Services</w:t>
      </w:r>
      <w:bookmarkEnd w:id="60"/>
    </w:p>
    <w:p w14:paraId="1D587B2C" w14:textId="77777777" w:rsidR="00144A39" w:rsidRPr="006F16F8" w:rsidRDefault="00144A39" w:rsidP="00E43419">
      <w:pPr>
        <w:spacing w:after="0"/>
        <w:rPr>
          <w:lang w:eastAsia="ja-JP"/>
        </w:rPr>
      </w:pPr>
      <w:r>
        <w:rPr>
          <w:noProof/>
        </w:rPr>
        <w:drawing>
          <wp:inline distT="0" distB="0" distL="0" distR="0" wp14:anchorId="0753C3EF" wp14:editId="49789B27">
            <wp:extent cx="5943600" cy="3148641"/>
            <wp:effectExtent l="0" t="0" r="0" b="13970"/>
            <wp:docPr id="34" name="Chart 34">
              <a:extLst xmlns:a="http://schemas.openxmlformats.org/drawingml/2006/main">
                <a:ext uri="{FF2B5EF4-FFF2-40B4-BE49-F238E27FC236}">
                  <a16:creationId xmlns:a16="http://schemas.microsoft.com/office/drawing/2014/main" id="{FDD38605-E957-4137-B152-FEA4366FA5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7A0C71" w14:textId="77777777" w:rsidR="001D1A0E" w:rsidRDefault="001D1A0E" w:rsidP="001D1A0E">
      <w:pPr>
        <w:pStyle w:val="FigureSource"/>
      </w:pPr>
      <w:r>
        <w:t>Source: P</w:t>
      </w:r>
      <w:r w:rsidRPr="000879DE">
        <w:t xml:space="preserve">articipant-level data received through </w:t>
      </w:r>
      <w:r>
        <w:t>November 30, 2020</w:t>
      </w:r>
    </w:p>
    <w:p w14:paraId="733C337F" w14:textId="77777777" w:rsidR="006F16F8" w:rsidRPr="00BC6E34" w:rsidRDefault="00DE0440" w:rsidP="008F3C56">
      <w:pPr>
        <w:pStyle w:val="ExhibitTitle"/>
      </w:pPr>
      <w:bookmarkStart w:id="61" w:name="_Toc64988285"/>
      <w:r w:rsidRPr="00BC6E34">
        <w:t>Exhibit 1</w:t>
      </w:r>
      <w:r w:rsidR="00B2442C">
        <w:t>5</w:t>
      </w:r>
      <w:r w:rsidR="006F16F8" w:rsidRPr="00BC6E34">
        <w:t>. Planned Services – Medical Services</w:t>
      </w:r>
      <w:bookmarkEnd w:id="61"/>
    </w:p>
    <w:p w14:paraId="67909748" w14:textId="77777777" w:rsidR="00144A39" w:rsidRPr="006F16F8" w:rsidRDefault="00144A39" w:rsidP="00E43419">
      <w:pPr>
        <w:spacing w:after="0"/>
        <w:rPr>
          <w:lang w:eastAsia="ja-JP"/>
        </w:rPr>
      </w:pPr>
      <w:r>
        <w:rPr>
          <w:noProof/>
        </w:rPr>
        <w:drawing>
          <wp:inline distT="0" distB="0" distL="0" distR="0" wp14:anchorId="43A6CF2C" wp14:editId="32E4FB17">
            <wp:extent cx="4572000" cy="681486"/>
            <wp:effectExtent l="0" t="0" r="0" b="4445"/>
            <wp:docPr id="35" name="Chart 35">
              <a:extLst xmlns:a="http://schemas.openxmlformats.org/drawingml/2006/main">
                <a:ext uri="{FF2B5EF4-FFF2-40B4-BE49-F238E27FC236}">
                  <a16:creationId xmlns:a16="http://schemas.microsoft.com/office/drawing/2014/main" id="{16016A11-69B9-413D-9896-632F977FF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0880A5" w14:textId="77777777" w:rsidR="001413E6" w:rsidRDefault="001D1A0E" w:rsidP="001D1A0E">
      <w:pPr>
        <w:pStyle w:val="FigureSource"/>
      </w:pPr>
      <w:r>
        <w:t>Source: P</w:t>
      </w:r>
      <w:r w:rsidRPr="000879DE">
        <w:t xml:space="preserve">articipant-level data received through </w:t>
      </w:r>
      <w:r>
        <w:t>November 30, 2020</w:t>
      </w:r>
    </w:p>
    <w:p w14:paraId="2E3C0B77" w14:textId="77777777" w:rsidR="006F16F8" w:rsidRPr="00BC6E34" w:rsidRDefault="00DE0440" w:rsidP="008F3C56">
      <w:pPr>
        <w:pStyle w:val="ExhibitTitle"/>
      </w:pPr>
      <w:bookmarkStart w:id="62" w:name="_Toc64988286"/>
      <w:r w:rsidRPr="00BC6E34">
        <w:t>Exhibit 1</w:t>
      </w:r>
      <w:r w:rsidR="00B2442C">
        <w:t>6</w:t>
      </w:r>
      <w:r w:rsidR="006F16F8" w:rsidRPr="00BC6E34">
        <w:t>. Planned Services – After Care Services</w:t>
      </w:r>
      <w:bookmarkEnd w:id="62"/>
    </w:p>
    <w:p w14:paraId="50909FAF" w14:textId="77777777" w:rsidR="00144A39" w:rsidRPr="006F16F8" w:rsidRDefault="00144A39" w:rsidP="00E43419">
      <w:pPr>
        <w:spacing w:after="0"/>
        <w:rPr>
          <w:lang w:eastAsia="ja-JP"/>
        </w:rPr>
      </w:pPr>
      <w:r>
        <w:rPr>
          <w:noProof/>
        </w:rPr>
        <w:drawing>
          <wp:inline distT="0" distB="0" distL="0" distR="0" wp14:anchorId="085B3503" wp14:editId="1581659E">
            <wp:extent cx="4572000" cy="1854679"/>
            <wp:effectExtent l="0" t="0" r="0" b="12700"/>
            <wp:docPr id="36" name="Chart 36">
              <a:extLst xmlns:a="http://schemas.openxmlformats.org/drawingml/2006/main">
                <a:ext uri="{FF2B5EF4-FFF2-40B4-BE49-F238E27FC236}">
                  <a16:creationId xmlns:a16="http://schemas.microsoft.com/office/drawing/2014/main" id="{2D14BDC5-47F6-47E6-BFDF-C526404E4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4AD30A" w14:textId="77777777" w:rsidR="001D1A0E" w:rsidRDefault="001D1A0E" w:rsidP="001D1A0E">
      <w:pPr>
        <w:pStyle w:val="FigureSource"/>
      </w:pPr>
      <w:r>
        <w:t>Source: P</w:t>
      </w:r>
      <w:r w:rsidRPr="000879DE">
        <w:t xml:space="preserve">articipant-level data received through </w:t>
      </w:r>
      <w:r>
        <w:t>November 30, 2020</w:t>
      </w:r>
    </w:p>
    <w:p w14:paraId="6C8F17FF" w14:textId="77777777" w:rsidR="006F16F8" w:rsidRPr="00BC6E34" w:rsidRDefault="00DE0440" w:rsidP="008F3C56">
      <w:pPr>
        <w:pStyle w:val="ExhibitTitle"/>
      </w:pPr>
      <w:bookmarkStart w:id="63" w:name="_Toc64988287"/>
      <w:r w:rsidRPr="00BC6E34">
        <w:lastRenderedPageBreak/>
        <w:t>Exhibit 1</w:t>
      </w:r>
      <w:r w:rsidR="00B2442C">
        <w:t>7</w:t>
      </w:r>
      <w:r w:rsidR="006F16F8" w:rsidRPr="00BC6E34">
        <w:t>. Planned Services – Education Services</w:t>
      </w:r>
      <w:bookmarkEnd w:id="63"/>
    </w:p>
    <w:p w14:paraId="48988B05" w14:textId="77777777" w:rsidR="005773F0" w:rsidRPr="001413E6" w:rsidRDefault="005773F0" w:rsidP="00E43419">
      <w:pPr>
        <w:spacing w:after="0"/>
        <w:rPr>
          <w:lang w:eastAsia="ja-JP"/>
        </w:rPr>
      </w:pPr>
      <w:r>
        <w:rPr>
          <w:noProof/>
        </w:rPr>
        <w:drawing>
          <wp:inline distT="0" distB="0" distL="0" distR="0" wp14:anchorId="526AC16F" wp14:editId="20242416">
            <wp:extent cx="5943600" cy="2458528"/>
            <wp:effectExtent l="0" t="0" r="0" b="18415"/>
            <wp:docPr id="38" name="Chart 38">
              <a:extLst xmlns:a="http://schemas.openxmlformats.org/drawingml/2006/main">
                <a:ext uri="{FF2B5EF4-FFF2-40B4-BE49-F238E27FC236}">
                  <a16:creationId xmlns:a16="http://schemas.microsoft.com/office/drawing/2014/main" id="{5A2169D7-33F1-4577-B8A7-015B604D6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F1A228C" w14:textId="77777777" w:rsidR="001413E6" w:rsidRDefault="001D1A0E" w:rsidP="001D1A0E">
      <w:pPr>
        <w:pStyle w:val="FigureSource"/>
      </w:pPr>
      <w:r>
        <w:t>Source: P</w:t>
      </w:r>
      <w:r w:rsidRPr="000879DE">
        <w:t xml:space="preserve">articipant-level data received through </w:t>
      </w:r>
      <w:r>
        <w:t>November 30, 2020</w:t>
      </w:r>
    </w:p>
    <w:p w14:paraId="48AC25A2" w14:textId="77777777" w:rsidR="006F16F8" w:rsidRPr="00BC6E34" w:rsidRDefault="00DE0440" w:rsidP="008F3C56">
      <w:pPr>
        <w:pStyle w:val="ExhibitTitle"/>
      </w:pPr>
      <w:bookmarkStart w:id="64" w:name="_Toc64988288"/>
      <w:r w:rsidRPr="00BC6E34">
        <w:t>Exhibit 1</w:t>
      </w:r>
      <w:r w:rsidR="00B2442C">
        <w:t>8</w:t>
      </w:r>
      <w:r w:rsidR="006F16F8" w:rsidRPr="00BC6E34">
        <w:t>. Planned Services – Peer-to-Peer Recovery Services</w:t>
      </w:r>
      <w:bookmarkEnd w:id="64"/>
    </w:p>
    <w:p w14:paraId="0F2C8A5A" w14:textId="77777777" w:rsidR="005773F0" w:rsidRPr="006F16F8" w:rsidRDefault="005773F0" w:rsidP="00E43419">
      <w:pPr>
        <w:spacing w:after="0"/>
        <w:rPr>
          <w:lang w:eastAsia="ja-JP"/>
        </w:rPr>
      </w:pPr>
      <w:r>
        <w:rPr>
          <w:noProof/>
        </w:rPr>
        <w:drawing>
          <wp:inline distT="0" distB="0" distL="0" distR="0" wp14:anchorId="5C9C199D" wp14:editId="2589109F">
            <wp:extent cx="5693410" cy="1500997"/>
            <wp:effectExtent l="0" t="0" r="2540" b="4445"/>
            <wp:docPr id="39" name="Chart 39">
              <a:extLst xmlns:a="http://schemas.openxmlformats.org/drawingml/2006/main">
                <a:ext uri="{FF2B5EF4-FFF2-40B4-BE49-F238E27FC236}">
                  <a16:creationId xmlns:a16="http://schemas.microsoft.com/office/drawing/2014/main" id="{E8886786-8509-451F-89C8-7F18714FD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C451A6" w14:textId="77777777" w:rsidR="001D1A0E" w:rsidRDefault="001D1A0E" w:rsidP="001D1A0E">
      <w:pPr>
        <w:pStyle w:val="FigureSource"/>
      </w:pPr>
      <w:r>
        <w:t>Source: P</w:t>
      </w:r>
      <w:r w:rsidRPr="000879DE">
        <w:t xml:space="preserve">articipant-level data received through </w:t>
      </w:r>
      <w:r>
        <w:t>November 30, 2020</w:t>
      </w:r>
    </w:p>
    <w:p w14:paraId="187D1490" w14:textId="77777777" w:rsidR="003828A1" w:rsidRDefault="003828A1" w:rsidP="003828A1">
      <w:pPr>
        <w:pStyle w:val="Heading2"/>
      </w:pPr>
      <w:bookmarkStart w:id="65" w:name="_Toc64988261"/>
      <w:r>
        <w:t>Preliminary Outcome Analysis</w:t>
      </w:r>
      <w:bookmarkEnd w:id="65"/>
    </w:p>
    <w:p w14:paraId="118AA830" w14:textId="77777777" w:rsidR="00DB6CF4" w:rsidRPr="00DB6CF4" w:rsidRDefault="00DB6CF4" w:rsidP="00DB6CF4">
      <w:pPr>
        <w:rPr>
          <w:lang w:eastAsia="ja-JP"/>
        </w:rPr>
      </w:pPr>
      <w:r w:rsidRPr="00DB6CF4">
        <w:rPr>
          <w:lang w:eastAsia="ja-JP"/>
        </w:rPr>
        <w:t xml:space="preserve">To answer the question “What is the impact of </w:t>
      </w:r>
      <w:r w:rsidRPr="000A5034">
        <w:rPr>
          <w:i/>
          <w:iCs/>
          <w:lang w:eastAsia="ja-JP"/>
        </w:rPr>
        <w:t>The Seven Challenges</w:t>
      </w:r>
      <w:r w:rsidRPr="00DB6CF4">
        <w:rPr>
          <w:lang w:eastAsia="ja-JP"/>
        </w:rPr>
        <w:t xml:space="preserve"> after 6 months of exposure?” we conducted pre-post outcome analysis on the GPRA data. Of the 44 </w:t>
      </w:r>
      <w:r w:rsidR="006E09E7">
        <w:rPr>
          <w:lang w:eastAsia="ja-JP"/>
        </w:rPr>
        <w:t>participants</w:t>
      </w:r>
      <w:r w:rsidRPr="00DB6CF4">
        <w:rPr>
          <w:lang w:eastAsia="ja-JP"/>
        </w:rPr>
        <w:t xml:space="preserve"> with intake </w:t>
      </w:r>
      <w:r w:rsidR="00D064C6">
        <w:rPr>
          <w:lang w:eastAsia="ja-JP"/>
        </w:rPr>
        <w:t>data</w:t>
      </w:r>
      <w:r w:rsidRPr="00DB6CF4">
        <w:rPr>
          <w:lang w:eastAsia="ja-JP"/>
        </w:rPr>
        <w:t xml:space="preserve">, 17 have at least one post-intake interview: 8 have a 6-month follow-up survey and no discharge survey, 8 have a discharge survey and no 6-month follow-up survey, and 1 </w:t>
      </w:r>
      <w:r w:rsidR="006E09E7">
        <w:rPr>
          <w:lang w:eastAsia="ja-JP"/>
        </w:rPr>
        <w:t>participant</w:t>
      </w:r>
      <w:r w:rsidRPr="00DB6CF4">
        <w:rPr>
          <w:lang w:eastAsia="ja-JP"/>
        </w:rPr>
        <w:t xml:space="preserve"> has both a 6-month follow-up survey and a discharge survey. To conduct pre-post analysis, we assigned the “pre” period as the intake survey and the “post” period as the available post-intake survey; if a client had two post-intake surveys, we used the survey where the pre-post period was closest to 6 months, where the definition of “pre-post period” is the time between the post-intake interview and the intake interview. </w:t>
      </w:r>
    </w:p>
    <w:p w14:paraId="0F63050B" w14:textId="32EDFECA" w:rsidR="00DB6CF4" w:rsidRPr="00DB6CF4" w:rsidRDefault="00DB6CF4" w:rsidP="00DB6CF4">
      <w:pPr>
        <w:rPr>
          <w:lang w:eastAsia="ja-JP"/>
        </w:rPr>
      </w:pPr>
      <w:r w:rsidRPr="00DB6CF4">
        <w:rPr>
          <w:lang w:eastAsia="ja-JP"/>
        </w:rPr>
        <w:t xml:space="preserve">Prior to analysis, we confirmed that there were </w:t>
      </w:r>
      <w:r w:rsidR="00D064C6">
        <w:rPr>
          <w:lang w:eastAsia="ja-JP"/>
        </w:rPr>
        <w:t>at least</w:t>
      </w:r>
      <w:r w:rsidRPr="00DB6CF4">
        <w:rPr>
          <w:lang w:eastAsia="ja-JP"/>
        </w:rPr>
        <w:t xml:space="preserve"> 30 days between each </w:t>
      </w:r>
      <w:r w:rsidR="006E09E7">
        <w:rPr>
          <w:lang w:eastAsia="ja-JP"/>
        </w:rPr>
        <w:t>participant</w:t>
      </w:r>
      <w:r w:rsidRPr="00DB6CF4">
        <w:rPr>
          <w:lang w:eastAsia="ja-JP"/>
        </w:rPr>
        <w:t xml:space="preserve">’s </w:t>
      </w:r>
      <w:r w:rsidR="00D064C6">
        <w:rPr>
          <w:lang w:eastAsia="ja-JP"/>
        </w:rPr>
        <w:t xml:space="preserve">pre and post </w:t>
      </w:r>
      <w:r w:rsidR="00836D88" w:rsidRPr="00DB6CF4">
        <w:rPr>
          <w:lang w:eastAsia="ja-JP"/>
        </w:rPr>
        <w:t>time points</w:t>
      </w:r>
      <w:r w:rsidRPr="00DB6CF4">
        <w:rPr>
          <w:lang w:eastAsia="ja-JP"/>
        </w:rPr>
        <w:t xml:space="preserve">, restructured the dataset to </w:t>
      </w:r>
      <w:r w:rsidR="001872BE">
        <w:rPr>
          <w:lang w:eastAsia="ja-JP"/>
        </w:rPr>
        <w:t>facilitate outcome analysis</w:t>
      </w:r>
      <w:r w:rsidRPr="00DB6CF4">
        <w:rPr>
          <w:lang w:eastAsia="ja-JP"/>
        </w:rPr>
        <w:t xml:space="preserve">, dichotomized variables of interest, and created matched versions of variables so only clients who had valid responses at both pre- and post-intake </w:t>
      </w:r>
      <w:r w:rsidR="00836D88" w:rsidRPr="00DB6CF4">
        <w:rPr>
          <w:lang w:eastAsia="ja-JP"/>
        </w:rPr>
        <w:t>time points</w:t>
      </w:r>
      <w:r w:rsidRPr="00DB6CF4">
        <w:rPr>
          <w:lang w:eastAsia="ja-JP"/>
        </w:rPr>
        <w:t xml:space="preserve"> would be included in analysis. Because this analysis was conducted on fewer than 20 clients, we are considering the findings to be preliminary </w:t>
      </w:r>
      <w:r w:rsidR="00D064C6">
        <w:rPr>
          <w:lang w:eastAsia="ja-JP"/>
        </w:rPr>
        <w:t>rather than</w:t>
      </w:r>
      <w:r w:rsidRPr="00DB6CF4">
        <w:rPr>
          <w:lang w:eastAsia="ja-JP"/>
        </w:rPr>
        <w:t xml:space="preserve"> conclusive. </w:t>
      </w:r>
      <w:r w:rsidR="00D064C6">
        <w:rPr>
          <w:lang w:eastAsia="ja-JP"/>
        </w:rPr>
        <w:t>For the same reason</w:t>
      </w:r>
      <w:r w:rsidRPr="00DB6CF4">
        <w:rPr>
          <w:lang w:eastAsia="ja-JP"/>
        </w:rPr>
        <w:t>, no significance testing was conducted</w:t>
      </w:r>
      <w:r>
        <w:rPr>
          <w:bCs/>
          <w:iCs/>
        </w:rPr>
        <w:t xml:space="preserve">. </w:t>
      </w:r>
    </w:p>
    <w:p w14:paraId="64C53509" w14:textId="77777777" w:rsidR="000C63F9" w:rsidRDefault="00D064C6" w:rsidP="00DB6CF4">
      <w:pPr>
        <w:rPr>
          <w:lang w:eastAsia="ja-JP"/>
        </w:rPr>
      </w:pPr>
      <w:r>
        <w:rPr>
          <w:lang w:eastAsia="ja-JP"/>
        </w:rPr>
        <w:lastRenderedPageBreak/>
        <w:t xml:space="preserve">Exhibits 19 through </w:t>
      </w:r>
      <w:r w:rsidR="000C63F9">
        <w:rPr>
          <w:lang w:eastAsia="ja-JP"/>
        </w:rPr>
        <w:t xml:space="preserve">25 show the preliminary results of this outcome analysis. </w:t>
      </w:r>
      <w:r w:rsidR="0077612D">
        <w:rPr>
          <w:lang w:eastAsia="ja-JP"/>
        </w:rPr>
        <w:t>Looking at Exhibit 19, we find that t</w:t>
      </w:r>
      <w:r w:rsidR="00DB6CF4" w:rsidRPr="00DB6CF4">
        <w:rPr>
          <w:lang w:eastAsia="ja-JP"/>
        </w:rPr>
        <w:t xml:space="preserve">he average number of days </w:t>
      </w:r>
      <w:r w:rsidR="000C63F9">
        <w:rPr>
          <w:lang w:eastAsia="ja-JP"/>
        </w:rPr>
        <w:t>of engaging in substance use related behaviors during the past 30 days decreased for the following:</w:t>
      </w:r>
      <w:r w:rsidR="00DB6CF4" w:rsidRPr="00DB6CF4">
        <w:rPr>
          <w:lang w:eastAsia="ja-JP"/>
        </w:rPr>
        <w:t xml:space="preserve"> </w:t>
      </w:r>
    </w:p>
    <w:p w14:paraId="7C908364" w14:textId="6F54569C" w:rsidR="000C63F9" w:rsidRDefault="00DB6CF4" w:rsidP="000C63F9">
      <w:pPr>
        <w:pStyle w:val="ListParagraph"/>
        <w:numPr>
          <w:ilvl w:val="0"/>
          <w:numId w:val="21"/>
        </w:numPr>
        <w:rPr>
          <w:lang w:eastAsia="ja-JP"/>
        </w:rPr>
      </w:pPr>
      <w:r w:rsidRPr="00DB6CF4">
        <w:rPr>
          <w:lang w:eastAsia="ja-JP"/>
        </w:rPr>
        <w:t>alcohol use</w:t>
      </w:r>
    </w:p>
    <w:p w14:paraId="4F0D8D76" w14:textId="118B869A" w:rsidR="000C63F9" w:rsidRDefault="00DB6CF4" w:rsidP="000C63F9">
      <w:pPr>
        <w:pStyle w:val="ListParagraph"/>
        <w:numPr>
          <w:ilvl w:val="0"/>
          <w:numId w:val="21"/>
        </w:numPr>
        <w:rPr>
          <w:lang w:eastAsia="ja-JP"/>
        </w:rPr>
      </w:pPr>
      <w:r w:rsidRPr="00DB6CF4">
        <w:rPr>
          <w:lang w:eastAsia="ja-JP"/>
        </w:rPr>
        <w:t xml:space="preserve">binge alcohol use </w:t>
      </w:r>
    </w:p>
    <w:p w14:paraId="55F8C4B4" w14:textId="77777777" w:rsidR="000C63F9" w:rsidRDefault="000C63F9" w:rsidP="000C63F9">
      <w:pPr>
        <w:pStyle w:val="ListParagraph"/>
        <w:numPr>
          <w:ilvl w:val="0"/>
          <w:numId w:val="21"/>
        </w:numPr>
        <w:rPr>
          <w:lang w:eastAsia="ja-JP"/>
        </w:rPr>
      </w:pPr>
      <w:r>
        <w:rPr>
          <w:lang w:eastAsia="ja-JP"/>
        </w:rPr>
        <w:t>marijuana use</w:t>
      </w:r>
    </w:p>
    <w:p w14:paraId="439F0941" w14:textId="77777777" w:rsidR="000C63F9" w:rsidRDefault="000C63F9" w:rsidP="000C63F9">
      <w:pPr>
        <w:pStyle w:val="ListParagraph"/>
        <w:numPr>
          <w:ilvl w:val="0"/>
          <w:numId w:val="21"/>
        </w:numPr>
        <w:rPr>
          <w:lang w:eastAsia="ja-JP"/>
        </w:rPr>
      </w:pPr>
      <w:r>
        <w:rPr>
          <w:lang w:eastAsia="ja-JP"/>
        </w:rPr>
        <w:t xml:space="preserve">any </w:t>
      </w:r>
      <w:r w:rsidR="00DB6CF4" w:rsidRPr="00DB6CF4">
        <w:rPr>
          <w:lang w:eastAsia="ja-JP"/>
        </w:rPr>
        <w:t xml:space="preserve">illicit drug use (including marijuana use) </w:t>
      </w:r>
    </w:p>
    <w:p w14:paraId="640FF57A" w14:textId="22FADEA4" w:rsidR="00E1357F" w:rsidRDefault="00E1357F" w:rsidP="008F3C56">
      <w:pPr>
        <w:pStyle w:val="ExhibitTitle"/>
      </w:pPr>
      <w:bookmarkStart w:id="66" w:name="_Toc64988289"/>
      <w:r w:rsidRPr="00BC6E34">
        <w:t>Exhibit 1</w:t>
      </w:r>
      <w:r w:rsidR="003F092C">
        <w:t>9</w:t>
      </w:r>
      <w:r w:rsidRPr="00BC6E34">
        <w:t xml:space="preserve">. Average </w:t>
      </w:r>
      <w:r w:rsidR="00EA7752" w:rsidRPr="00BC6E34">
        <w:t>days of substance use during the past 30 days</w:t>
      </w:r>
      <w:bookmarkEnd w:id="66"/>
    </w:p>
    <w:p w14:paraId="0D3C0B07" w14:textId="6D393D8A" w:rsidR="001872BE" w:rsidRPr="001872BE" w:rsidRDefault="001872BE" w:rsidP="001872BE">
      <w:pPr>
        <w:rPr>
          <w:lang w:eastAsia="ja-JP"/>
        </w:rPr>
      </w:pPr>
      <w:r>
        <w:rPr>
          <w:noProof/>
        </w:rPr>
        <w:drawing>
          <wp:inline distT="0" distB="0" distL="0" distR="0" wp14:anchorId="47FACC65" wp14:editId="281A0554">
            <wp:extent cx="6126480" cy="2562225"/>
            <wp:effectExtent l="0" t="0" r="7620" b="9525"/>
            <wp:docPr id="62" name="Chart 62">
              <a:extLst xmlns:a="http://schemas.openxmlformats.org/drawingml/2006/main">
                <a:ext uri="{FF2B5EF4-FFF2-40B4-BE49-F238E27FC236}">
                  <a16:creationId xmlns:a16="http://schemas.microsoft.com/office/drawing/2014/main" id="{60A7EE44-4A8C-442D-A713-78589BD81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F92C04" w14:textId="794C2893" w:rsidR="00E1357F" w:rsidRDefault="00E1357F" w:rsidP="00E1357F">
      <w:pPr>
        <w:pStyle w:val="FigureSource"/>
      </w:pPr>
      <w:r>
        <w:t>Source: P</w:t>
      </w:r>
      <w:r w:rsidRPr="000879DE">
        <w:t xml:space="preserve">articipant-level data received through </w:t>
      </w:r>
      <w:r>
        <w:t>November 30, 2020</w:t>
      </w:r>
    </w:p>
    <w:p w14:paraId="70AA4795" w14:textId="77777777" w:rsidR="000E4056" w:rsidRDefault="000E4056" w:rsidP="00AC143D">
      <w:pPr>
        <w:spacing w:before="480"/>
        <w:rPr>
          <w:lang w:eastAsia="ja-JP"/>
        </w:rPr>
      </w:pPr>
      <w:r>
        <w:rPr>
          <w:lang w:eastAsia="ja-JP"/>
        </w:rPr>
        <w:t xml:space="preserve">Exhibit 20 shows declines in the incidence of the following mental health issues during the past 30 days: </w:t>
      </w:r>
    </w:p>
    <w:p w14:paraId="4F891477" w14:textId="77777777" w:rsidR="000E4056" w:rsidRDefault="000E4056" w:rsidP="000E4056">
      <w:pPr>
        <w:pStyle w:val="ListParagraph"/>
        <w:numPr>
          <w:ilvl w:val="0"/>
          <w:numId w:val="20"/>
        </w:numPr>
        <w:rPr>
          <w:lang w:eastAsia="ja-JP"/>
        </w:rPr>
      </w:pPr>
      <w:r>
        <w:rPr>
          <w:lang w:eastAsia="ja-JP"/>
        </w:rPr>
        <w:t xml:space="preserve">serious depression </w:t>
      </w:r>
    </w:p>
    <w:p w14:paraId="58E30474" w14:textId="36E0D6F7" w:rsidR="000E4056" w:rsidRDefault="000E4056" w:rsidP="000E4056">
      <w:pPr>
        <w:pStyle w:val="ListParagraph"/>
        <w:numPr>
          <w:ilvl w:val="0"/>
          <w:numId w:val="20"/>
        </w:numPr>
        <w:rPr>
          <w:lang w:eastAsia="ja-JP"/>
        </w:rPr>
      </w:pPr>
      <w:r>
        <w:rPr>
          <w:lang w:eastAsia="ja-JP"/>
        </w:rPr>
        <w:t xml:space="preserve">serious anxiety or tension </w:t>
      </w:r>
    </w:p>
    <w:p w14:paraId="182EAD36" w14:textId="1EC5620B" w:rsidR="000E4056" w:rsidRDefault="000E4056" w:rsidP="000E4056">
      <w:pPr>
        <w:pStyle w:val="ListParagraph"/>
        <w:numPr>
          <w:ilvl w:val="0"/>
          <w:numId w:val="20"/>
        </w:numPr>
        <w:rPr>
          <w:lang w:eastAsia="ja-JP"/>
        </w:rPr>
      </w:pPr>
      <w:r>
        <w:rPr>
          <w:lang w:eastAsia="ja-JP"/>
        </w:rPr>
        <w:t>hallucinations</w:t>
      </w:r>
    </w:p>
    <w:p w14:paraId="51B7A6A4" w14:textId="154F13D8" w:rsidR="000E4056" w:rsidRDefault="000E4056" w:rsidP="000E4056">
      <w:pPr>
        <w:pStyle w:val="ListParagraph"/>
        <w:numPr>
          <w:ilvl w:val="0"/>
          <w:numId w:val="20"/>
        </w:numPr>
        <w:rPr>
          <w:lang w:eastAsia="ja-JP"/>
        </w:rPr>
      </w:pPr>
      <w:r>
        <w:rPr>
          <w:lang w:eastAsia="ja-JP"/>
        </w:rPr>
        <w:t xml:space="preserve">trouble understanding, concentrating, or remembering </w:t>
      </w:r>
    </w:p>
    <w:p w14:paraId="0D80B9FF" w14:textId="75ABBCA4" w:rsidR="000E4056" w:rsidRDefault="000E4056" w:rsidP="000E4056">
      <w:pPr>
        <w:pStyle w:val="ListParagraph"/>
        <w:numPr>
          <w:ilvl w:val="0"/>
          <w:numId w:val="20"/>
        </w:numPr>
        <w:rPr>
          <w:lang w:eastAsia="ja-JP"/>
        </w:rPr>
      </w:pPr>
      <w:r>
        <w:rPr>
          <w:lang w:eastAsia="ja-JP"/>
        </w:rPr>
        <w:t>having trouble controlling violent behavior</w:t>
      </w:r>
    </w:p>
    <w:p w14:paraId="1E6C2C01" w14:textId="77777777" w:rsidR="000E4056" w:rsidRPr="00DB6CF4" w:rsidRDefault="000E4056" w:rsidP="000E4056">
      <w:pPr>
        <w:spacing w:before="100" w:beforeAutospacing="1"/>
        <w:rPr>
          <w:lang w:eastAsia="ja-JP"/>
        </w:rPr>
      </w:pPr>
      <w:r>
        <w:rPr>
          <w:lang w:eastAsia="ja-JP"/>
        </w:rPr>
        <w:t xml:space="preserve">According to Exhibit 20, almost 9% of clients were prescribed a medication for a psychological or emotional problem at intake; this increased to 19% at post-intake. </w:t>
      </w:r>
    </w:p>
    <w:p w14:paraId="79BD906D" w14:textId="77777777" w:rsidR="000E4056" w:rsidRDefault="000E4056" w:rsidP="00E1357F">
      <w:pPr>
        <w:pStyle w:val="FigureSource"/>
      </w:pPr>
    </w:p>
    <w:p w14:paraId="6D1A63C0" w14:textId="76E424EA" w:rsidR="0077612D" w:rsidRDefault="00E1357F" w:rsidP="008F3C56">
      <w:pPr>
        <w:pStyle w:val="ExhibitTitle"/>
      </w:pPr>
      <w:bookmarkStart w:id="67" w:name="_Toc64988290"/>
      <w:r w:rsidRPr="00BC6E34">
        <w:lastRenderedPageBreak/>
        <w:t xml:space="preserve">Exhibit </w:t>
      </w:r>
      <w:r w:rsidR="003F092C">
        <w:t>20</w:t>
      </w:r>
      <w:r w:rsidRPr="00BC6E34">
        <w:t>.</w:t>
      </w:r>
      <w:r w:rsidR="0077612D">
        <w:t xml:space="preserve"> </w:t>
      </w:r>
      <w:r w:rsidR="0077612D" w:rsidRPr="00BC6E34">
        <w:t xml:space="preserve">Average </w:t>
      </w:r>
      <w:r w:rsidR="00EA7752" w:rsidRPr="00BC6E34">
        <w:t>days of mental health symptoms during the past 30</w:t>
      </w:r>
      <w:r w:rsidR="00EA7752">
        <w:t xml:space="preserve"> days</w:t>
      </w:r>
      <w:bookmarkEnd w:id="67"/>
      <w:r w:rsidR="00EA7752" w:rsidRPr="00BC6E34">
        <w:t xml:space="preserve"> </w:t>
      </w:r>
    </w:p>
    <w:p w14:paraId="2871B5D6" w14:textId="77777777" w:rsidR="00E1357F" w:rsidRPr="00BC6E34" w:rsidRDefault="0077612D" w:rsidP="00E43419">
      <w:pPr>
        <w:spacing w:after="0"/>
      </w:pPr>
      <w:r>
        <w:rPr>
          <w:noProof/>
        </w:rPr>
        <w:drawing>
          <wp:inline distT="0" distB="0" distL="0" distR="0" wp14:anchorId="66B8BB5F" wp14:editId="74919E26">
            <wp:extent cx="6271260" cy="2078966"/>
            <wp:effectExtent l="0" t="0" r="15240" b="17145"/>
            <wp:docPr id="8" name="Chart 8">
              <a:extLst xmlns:a="http://schemas.openxmlformats.org/drawingml/2006/main">
                <a:ext uri="{FF2B5EF4-FFF2-40B4-BE49-F238E27FC236}">
                  <a16:creationId xmlns:a16="http://schemas.microsoft.com/office/drawing/2014/main" id="{296AAB1D-F5F8-4C35-B540-75D1BFD59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D599A9A" w14:textId="77777777" w:rsidR="00E1357F" w:rsidRDefault="00E1357F" w:rsidP="00E1357F">
      <w:pPr>
        <w:pStyle w:val="FigureSource"/>
      </w:pPr>
      <w:r>
        <w:t>Source: P</w:t>
      </w:r>
      <w:r w:rsidRPr="000879DE">
        <w:t xml:space="preserve">articipant-level data received through </w:t>
      </w:r>
      <w:r>
        <w:t>November 30, 2020</w:t>
      </w:r>
    </w:p>
    <w:p w14:paraId="618CC0D6" w14:textId="77777777" w:rsidR="00DA5CC0" w:rsidRDefault="00DA5CC0" w:rsidP="00DA5CC0">
      <w:r>
        <w:rPr>
          <w:lang w:eastAsia="ja-JP"/>
        </w:rPr>
        <w:t xml:space="preserve">The GPRA instruments include three questions about the extent to which alcohol or drug use impacted the participant during the past 30 days, with response options, “not at all,” “somewhat,” “considerably,” and “extremely.” </w:t>
      </w:r>
      <w:r w:rsidR="00FA1D35">
        <w:rPr>
          <w:lang w:eastAsia="ja-JP"/>
        </w:rPr>
        <w:t xml:space="preserve">The three areas of impact referenced in the three questions are stress, reducing or giving up important daily activities, and experiencing emotional problems. Exhibit 21 shows the percentages of participants who responded either “considerably” or “extremely” to the three questions; the results show that the adverse effects of substance use decreased in all three areas between intake and post-intake. </w:t>
      </w:r>
    </w:p>
    <w:p w14:paraId="6FCEC91A" w14:textId="33BE5813" w:rsidR="00E1357F" w:rsidRDefault="00E1357F" w:rsidP="008F3C56">
      <w:pPr>
        <w:pStyle w:val="ExhibitTitle"/>
      </w:pPr>
      <w:bookmarkStart w:id="68" w:name="_Toc64988291"/>
      <w:r w:rsidRPr="00BC6E34">
        <w:t xml:space="preserve">Exhibit </w:t>
      </w:r>
      <w:r w:rsidR="003F092C">
        <w:t>21</w:t>
      </w:r>
      <w:r w:rsidRPr="00BC6E34">
        <w:t xml:space="preserve">. </w:t>
      </w:r>
      <w:r w:rsidR="0077612D" w:rsidRPr="00BC6E34">
        <w:t xml:space="preserve">Days </w:t>
      </w:r>
      <w:r w:rsidR="00EA7752">
        <w:t>impact of</w:t>
      </w:r>
      <w:r w:rsidR="00EA7752" w:rsidRPr="00BC6E34">
        <w:t xml:space="preserve"> alcohol or drug use during the past 30 days</w:t>
      </w:r>
      <w:bookmarkEnd w:id="68"/>
    </w:p>
    <w:p w14:paraId="6B05D1D8" w14:textId="77777777" w:rsidR="00E1357F" w:rsidRPr="00E1357F" w:rsidRDefault="0077612D" w:rsidP="00E43419">
      <w:pPr>
        <w:spacing w:after="0"/>
        <w:rPr>
          <w:lang w:eastAsia="ja-JP"/>
        </w:rPr>
      </w:pPr>
      <w:r>
        <w:rPr>
          <w:noProof/>
        </w:rPr>
        <w:drawing>
          <wp:inline distT="0" distB="0" distL="0" distR="0" wp14:anchorId="0A711B4A" wp14:editId="1E115B00">
            <wp:extent cx="5313680" cy="1690778"/>
            <wp:effectExtent l="0" t="0" r="1270" b="5080"/>
            <wp:docPr id="5" name="Chart 5">
              <a:extLst xmlns:a="http://schemas.openxmlformats.org/drawingml/2006/main">
                <a:ext uri="{FF2B5EF4-FFF2-40B4-BE49-F238E27FC236}">
                  <a16:creationId xmlns:a16="http://schemas.microsoft.com/office/drawing/2014/main" id="{586F7156-9700-44FA-8DDD-9295DCD27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9503EC8" w14:textId="77777777" w:rsidR="00E1357F" w:rsidRDefault="00E1357F" w:rsidP="00E1357F">
      <w:pPr>
        <w:pStyle w:val="FigureSource"/>
      </w:pPr>
      <w:r>
        <w:t>Source: P</w:t>
      </w:r>
      <w:r w:rsidRPr="000879DE">
        <w:t xml:space="preserve">articipant-level data received through </w:t>
      </w:r>
      <w:r>
        <w:t>November 30, 2020</w:t>
      </w:r>
    </w:p>
    <w:p w14:paraId="76856D79" w14:textId="77777777" w:rsidR="0064750F" w:rsidRDefault="0064750F" w:rsidP="00DA5CC0">
      <w:r>
        <w:t xml:space="preserve">The above results indicate declines in risky behaviors and negative mental health symptoms. Exhibits 22 through 25 show increases in protective factors. </w:t>
      </w:r>
    </w:p>
    <w:p w14:paraId="77C5AD98" w14:textId="6F7BC2F4" w:rsidR="00C06585" w:rsidRDefault="00DA5CC0" w:rsidP="00DA5CC0">
      <w:pPr>
        <w:rPr>
          <w:lang w:eastAsia="ja-JP"/>
        </w:rPr>
      </w:pPr>
      <w:r>
        <w:rPr>
          <w:lang w:eastAsia="ja-JP"/>
        </w:rPr>
        <w:t xml:space="preserve">The percentage of </w:t>
      </w:r>
      <w:r w:rsidR="00C06585">
        <w:rPr>
          <w:lang w:eastAsia="ja-JP"/>
        </w:rPr>
        <w:t xml:space="preserve">participants </w:t>
      </w:r>
      <w:r w:rsidR="0064750F">
        <w:rPr>
          <w:lang w:eastAsia="ja-JP"/>
        </w:rPr>
        <w:t xml:space="preserve">describing </w:t>
      </w:r>
      <w:r>
        <w:rPr>
          <w:lang w:eastAsia="ja-JP"/>
        </w:rPr>
        <w:t xml:space="preserve">their overall health </w:t>
      </w:r>
      <w:r w:rsidR="0064750F">
        <w:rPr>
          <w:lang w:eastAsia="ja-JP"/>
        </w:rPr>
        <w:t>a</w:t>
      </w:r>
      <w:r>
        <w:rPr>
          <w:lang w:eastAsia="ja-JP"/>
        </w:rPr>
        <w:t>s ‘excellent,’ ‘very good,’ or ‘good’ increased from 44% at intake to 67% at post-intake</w:t>
      </w:r>
      <w:r w:rsidR="0064750F">
        <w:rPr>
          <w:lang w:eastAsia="ja-JP"/>
        </w:rPr>
        <w:t xml:space="preserve"> (Exhibit 22);</w:t>
      </w:r>
      <w:r>
        <w:rPr>
          <w:lang w:eastAsia="ja-JP"/>
        </w:rPr>
        <w:t xml:space="preserve"> the percentage of </w:t>
      </w:r>
      <w:r w:rsidR="00C06585">
        <w:rPr>
          <w:lang w:eastAsia="ja-JP"/>
        </w:rPr>
        <w:t xml:space="preserve">participants </w:t>
      </w:r>
      <w:r>
        <w:rPr>
          <w:lang w:eastAsia="ja-JP"/>
        </w:rPr>
        <w:t xml:space="preserve">who </w:t>
      </w:r>
      <w:r w:rsidR="0064750F">
        <w:rPr>
          <w:lang w:eastAsia="ja-JP"/>
        </w:rPr>
        <w:t xml:space="preserve">described </w:t>
      </w:r>
      <w:r>
        <w:rPr>
          <w:lang w:eastAsia="ja-JP"/>
        </w:rPr>
        <w:t xml:space="preserve">their quality of life </w:t>
      </w:r>
      <w:r w:rsidR="00C06585">
        <w:rPr>
          <w:lang w:eastAsia="ja-JP"/>
        </w:rPr>
        <w:t>a</w:t>
      </w:r>
      <w:r>
        <w:rPr>
          <w:lang w:eastAsia="ja-JP"/>
        </w:rPr>
        <w:t>s ‘good’ or ‘very good’ increased from 50% to 80</w:t>
      </w:r>
      <w:r w:rsidR="00EA7752">
        <w:rPr>
          <w:lang w:eastAsia="ja-JP"/>
        </w:rPr>
        <w:t>%</w:t>
      </w:r>
      <w:r>
        <w:rPr>
          <w:lang w:eastAsia="ja-JP"/>
        </w:rPr>
        <w:t xml:space="preserve">. </w:t>
      </w:r>
    </w:p>
    <w:p w14:paraId="75A19D1F" w14:textId="77777777" w:rsidR="00C06585" w:rsidRDefault="00DA5CC0" w:rsidP="00DA5CC0">
      <w:pPr>
        <w:rPr>
          <w:lang w:eastAsia="ja-JP"/>
        </w:rPr>
      </w:pPr>
      <w:r>
        <w:rPr>
          <w:lang w:eastAsia="ja-JP"/>
        </w:rPr>
        <w:t xml:space="preserve">Thirty-six percent of </w:t>
      </w:r>
      <w:r w:rsidR="00C06585">
        <w:rPr>
          <w:lang w:eastAsia="ja-JP"/>
        </w:rPr>
        <w:t xml:space="preserve">participants </w:t>
      </w:r>
      <w:r>
        <w:rPr>
          <w:lang w:eastAsia="ja-JP"/>
        </w:rPr>
        <w:t xml:space="preserve">reported that they were ‘satisfied’ or ‘very satisfied’ with themselves at intake; this increased to 64% at the post-intake interview. </w:t>
      </w:r>
    </w:p>
    <w:p w14:paraId="5415A6AC" w14:textId="77777777" w:rsidR="00DA5CC0" w:rsidRDefault="00C06585" w:rsidP="00DA5CC0">
      <w:r>
        <w:rPr>
          <w:lang w:eastAsia="ja-JP"/>
        </w:rPr>
        <w:lastRenderedPageBreak/>
        <w:t>Participants’ report of interactions with family and/or friends supportive of their recovery in the past 30 days was at a ceiling at intake (91%) and remained at that level through the post-intake interview.</w:t>
      </w:r>
    </w:p>
    <w:p w14:paraId="5DA7EA6D" w14:textId="6500E148" w:rsidR="00BC6E34" w:rsidRPr="00BC6E34" w:rsidRDefault="00BC6E34" w:rsidP="008F3C56">
      <w:pPr>
        <w:pStyle w:val="ExhibitTitle"/>
      </w:pPr>
      <w:bookmarkStart w:id="69" w:name="_Toc64988292"/>
      <w:r w:rsidRPr="00BC6E34">
        <w:t xml:space="preserve">Exhibit </w:t>
      </w:r>
      <w:r>
        <w:t>2</w:t>
      </w:r>
      <w:r w:rsidR="003F092C">
        <w:t>2</w:t>
      </w:r>
      <w:r w:rsidRPr="00BC6E34">
        <w:t xml:space="preserve">. Percentage </w:t>
      </w:r>
      <w:r w:rsidR="004A1EE0" w:rsidRPr="00BC6E34">
        <w:t xml:space="preserve">of program participants reporting their </w:t>
      </w:r>
      <w:r w:rsidR="004A1EE0">
        <w:br/>
      </w:r>
      <w:r w:rsidR="004A1EE0" w:rsidRPr="00BC6E34">
        <w:t>overall health is excellent, very good, or good</w:t>
      </w:r>
      <w:bookmarkEnd w:id="69"/>
    </w:p>
    <w:p w14:paraId="0DD93E8D" w14:textId="77777777" w:rsidR="00BC6E34" w:rsidRDefault="00F71D7B" w:rsidP="00E43419">
      <w:pPr>
        <w:spacing w:after="0"/>
      </w:pPr>
      <w:r>
        <w:rPr>
          <w:noProof/>
        </w:rPr>
        <w:drawing>
          <wp:inline distT="0" distB="0" distL="0" distR="0" wp14:anchorId="53920EEE" wp14:editId="6400E361">
            <wp:extent cx="4114800" cy="1737360"/>
            <wp:effectExtent l="0" t="0" r="0" b="15240"/>
            <wp:docPr id="11" name="Chart 11">
              <a:extLst xmlns:a="http://schemas.openxmlformats.org/drawingml/2006/main">
                <a:ext uri="{FF2B5EF4-FFF2-40B4-BE49-F238E27FC236}">
                  <a16:creationId xmlns:a16="http://schemas.microsoft.com/office/drawing/2014/main" id="{70490E2A-36C3-49AB-82C3-E2235A4D9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4170BA" w14:textId="77777777" w:rsidR="00BC6E34" w:rsidRDefault="00BC6E34" w:rsidP="00BC6E34">
      <w:pPr>
        <w:pStyle w:val="FigureSource"/>
      </w:pPr>
      <w:r>
        <w:t>Source: P</w:t>
      </w:r>
      <w:r w:rsidRPr="000879DE">
        <w:t xml:space="preserve">articipant-level data received through </w:t>
      </w:r>
      <w:r>
        <w:t>November 30, 2020</w:t>
      </w:r>
    </w:p>
    <w:p w14:paraId="038E70AE" w14:textId="6DCF821C" w:rsidR="00BC6E34" w:rsidRDefault="00BC6E34" w:rsidP="008F3C56">
      <w:pPr>
        <w:pStyle w:val="ExhibitTitle"/>
      </w:pPr>
      <w:bookmarkStart w:id="70" w:name="_Toc64988293"/>
      <w:r w:rsidRPr="00BC6E34">
        <w:t>Exhibit 2</w:t>
      </w:r>
      <w:r w:rsidR="003F092C">
        <w:t>3</w:t>
      </w:r>
      <w:r w:rsidRPr="00BC6E34">
        <w:t xml:space="preserve">. </w:t>
      </w:r>
      <w:r w:rsidR="001079C8" w:rsidRPr="001079C8">
        <w:t xml:space="preserve">Percentage of </w:t>
      </w:r>
      <w:r w:rsidR="004A1EE0" w:rsidRPr="001079C8">
        <w:t xml:space="preserve">program participants reporting their </w:t>
      </w:r>
      <w:r w:rsidR="004A1EE0">
        <w:br/>
      </w:r>
      <w:r w:rsidR="004A1EE0" w:rsidRPr="001079C8">
        <w:t>quality of life is good or very good</w:t>
      </w:r>
      <w:bookmarkEnd w:id="70"/>
    </w:p>
    <w:p w14:paraId="0A858646" w14:textId="77777777" w:rsidR="001079C8" w:rsidRPr="001079C8" w:rsidRDefault="001079C8" w:rsidP="00E43419">
      <w:pPr>
        <w:spacing w:after="0"/>
        <w:rPr>
          <w:lang w:eastAsia="ja-JP"/>
        </w:rPr>
      </w:pPr>
      <w:r>
        <w:rPr>
          <w:noProof/>
        </w:rPr>
        <w:drawing>
          <wp:inline distT="0" distB="0" distL="0" distR="0" wp14:anchorId="1372EC3A" wp14:editId="54360966">
            <wp:extent cx="4114800" cy="1737360"/>
            <wp:effectExtent l="0" t="0" r="0" b="15240"/>
            <wp:docPr id="12" name="Chart 12">
              <a:extLst xmlns:a="http://schemas.openxmlformats.org/drawingml/2006/main">
                <a:ext uri="{FF2B5EF4-FFF2-40B4-BE49-F238E27FC236}">
                  <a16:creationId xmlns:a16="http://schemas.microsoft.com/office/drawing/2014/main" id="{742C1ADD-0D0F-4870-B282-E14A45A99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F7CF4B6" w14:textId="77777777" w:rsidR="00BC6E34" w:rsidRDefault="00BC6E34" w:rsidP="00BC6E34">
      <w:pPr>
        <w:pStyle w:val="FigureSource"/>
      </w:pPr>
      <w:r>
        <w:t>Source: P</w:t>
      </w:r>
      <w:r w:rsidRPr="000879DE">
        <w:t xml:space="preserve">articipant-level data received through </w:t>
      </w:r>
      <w:r>
        <w:t>November 30, 2020</w:t>
      </w:r>
    </w:p>
    <w:p w14:paraId="37C4B652" w14:textId="79F2FC14" w:rsidR="001079C8" w:rsidRPr="001079C8" w:rsidRDefault="00BC6E34" w:rsidP="008F3C56">
      <w:pPr>
        <w:pStyle w:val="ExhibitTitle"/>
      </w:pPr>
      <w:bookmarkStart w:id="71" w:name="_Toc64988294"/>
      <w:r w:rsidRPr="00BC6E34">
        <w:t>Exhibit 2</w:t>
      </w:r>
      <w:r w:rsidR="003F092C">
        <w:t>4</w:t>
      </w:r>
      <w:r w:rsidRPr="00BC6E34">
        <w:t xml:space="preserve">. </w:t>
      </w:r>
      <w:r w:rsidR="001079C8" w:rsidRPr="001079C8">
        <w:t xml:space="preserve">Percentage of </w:t>
      </w:r>
      <w:r w:rsidR="004A1EE0" w:rsidRPr="001079C8">
        <w:t>program participants reporting they are</w:t>
      </w:r>
      <w:r w:rsidR="004A1EE0">
        <w:br/>
      </w:r>
      <w:r w:rsidR="004A1EE0" w:rsidRPr="001079C8">
        <w:t>satisfied or very satisfied with themselves</w:t>
      </w:r>
      <w:bookmarkEnd w:id="71"/>
    </w:p>
    <w:p w14:paraId="10933737" w14:textId="77777777" w:rsidR="00BC6E34" w:rsidRDefault="001079C8" w:rsidP="00E43419">
      <w:pPr>
        <w:spacing w:after="0"/>
      </w:pPr>
      <w:r>
        <w:rPr>
          <w:noProof/>
        </w:rPr>
        <w:drawing>
          <wp:inline distT="0" distB="0" distL="0" distR="0" wp14:anchorId="4F19D955" wp14:editId="2AB5EBFD">
            <wp:extent cx="4114800" cy="1737360"/>
            <wp:effectExtent l="0" t="0" r="0" b="15240"/>
            <wp:docPr id="14" name="Chart 14">
              <a:extLst xmlns:a="http://schemas.openxmlformats.org/drawingml/2006/main">
                <a:ext uri="{FF2B5EF4-FFF2-40B4-BE49-F238E27FC236}">
                  <a16:creationId xmlns:a16="http://schemas.microsoft.com/office/drawing/2014/main" id="{FFDAC067-3EE8-465F-86CF-CCE5E4C80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ABA0122" w14:textId="77777777" w:rsidR="00BC6E34" w:rsidRDefault="00BC6E34" w:rsidP="00E1357F">
      <w:pPr>
        <w:pStyle w:val="FigureSource"/>
      </w:pPr>
      <w:r>
        <w:t>Source: P</w:t>
      </w:r>
      <w:r w:rsidRPr="000879DE">
        <w:t xml:space="preserve">articipant-level data received through </w:t>
      </w:r>
      <w:r>
        <w:t>November 30, 2020</w:t>
      </w:r>
    </w:p>
    <w:p w14:paraId="4CCA727B" w14:textId="79BD8BC4" w:rsidR="001079C8" w:rsidRPr="00BC6E34" w:rsidRDefault="001079C8" w:rsidP="008F3C56">
      <w:pPr>
        <w:pStyle w:val="ExhibitTitle"/>
      </w:pPr>
      <w:bookmarkStart w:id="72" w:name="_Toc64988295"/>
      <w:r w:rsidRPr="00BC6E34">
        <w:lastRenderedPageBreak/>
        <w:t>Exhibit 2</w:t>
      </w:r>
      <w:r w:rsidR="003F092C">
        <w:t>5</w:t>
      </w:r>
      <w:r w:rsidRPr="00BC6E34">
        <w:t xml:space="preserve">. </w:t>
      </w:r>
      <w:r w:rsidRPr="001079C8">
        <w:t xml:space="preserve">Percentage of </w:t>
      </w:r>
      <w:r w:rsidR="004A1EE0" w:rsidRPr="001079C8">
        <w:t>program participants having interaction with family</w:t>
      </w:r>
      <w:r w:rsidR="004A1EE0">
        <w:br/>
      </w:r>
      <w:r w:rsidR="004A1EE0" w:rsidRPr="001079C8">
        <w:t>and/or friends that are supportive of their recovery in the past 30 days</w:t>
      </w:r>
      <w:bookmarkEnd w:id="72"/>
    </w:p>
    <w:p w14:paraId="0D96BFB7" w14:textId="77777777" w:rsidR="001079C8" w:rsidRDefault="001079C8" w:rsidP="00E43419">
      <w:pPr>
        <w:pStyle w:val="FigureSource"/>
        <w:spacing w:after="0"/>
      </w:pPr>
      <w:r>
        <w:rPr>
          <w:noProof/>
        </w:rPr>
        <w:drawing>
          <wp:inline distT="0" distB="0" distL="0" distR="0" wp14:anchorId="5ACD3A42" wp14:editId="5ECBE242">
            <wp:extent cx="4114800" cy="1737360"/>
            <wp:effectExtent l="0" t="0" r="0" b="15240"/>
            <wp:docPr id="27" name="Chart 27">
              <a:extLst xmlns:a="http://schemas.openxmlformats.org/drawingml/2006/main">
                <a:ext uri="{FF2B5EF4-FFF2-40B4-BE49-F238E27FC236}">
                  <a16:creationId xmlns:a16="http://schemas.microsoft.com/office/drawing/2014/main" id="{5E2DCAEB-6624-4DEE-8004-632EC8AE65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B457996" w14:textId="77777777" w:rsidR="001079C8" w:rsidRDefault="001079C8" w:rsidP="001079C8">
      <w:pPr>
        <w:pStyle w:val="FigureSource"/>
      </w:pPr>
      <w:r>
        <w:t>Source: P</w:t>
      </w:r>
      <w:r w:rsidRPr="000879DE">
        <w:t xml:space="preserve">articipant-level data received through </w:t>
      </w:r>
      <w:r>
        <w:t>November 30, 2020</w:t>
      </w:r>
    </w:p>
    <w:p w14:paraId="635672D7" w14:textId="77777777" w:rsidR="00F0643C" w:rsidRDefault="000329A5" w:rsidP="00E43419">
      <w:pPr>
        <w:pStyle w:val="Heading1"/>
        <w:spacing w:before="480" w:beforeAutospacing="0"/>
      </w:pPr>
      <w:bookmarkStart w:id="73" w:name="_Toc64988262"/>
      <w:r>
        <w:t>Sub-State-Level</w:t>
      </w:r>
      <w:r w:rsidR="00F0643C">
        <w:t xml:space="preserve"> Analysis Results</w:t>
      </w:r>
      <w:bookmarkEnd w:id="73"/>
    </w:p>
    <w:p w14:paraId="06808BFC" w14:textId="77777777" w:rsidR="00A00CE3" w:rsidRDefault="00A00CE3" w:rsidP="0037671A">
      <w:r>
        <w:t>As seen in Exhibit 11, most of the participants live in the Greater Nashua area. Although the program has not been implemented on a sufficient number of youth for a long enough time to have an impact in that region, it is informative to look at trends in relevant indicators in Greater Nashua compared to the state as a whole, to provide a context for this evaluation.</w:t>
      </w:r>
    </w:p>
    <w:p w14:paraId="0C86E8EA" w14:textId="21A1B00F" w:rsidR="0037671A" w:rsidRDefault="0037671A" w:rsidP="0037671A">
      <w:r>
        <w:t xml:space="preserve">The 2017 YRBS results were compared to the 2019 results for both Greater Nashua and New Hampshire </w:t>
      </w:r>
      <w:r w:rsidR="00A00CE3">
        <w:t xml:space="preserve">high </w:t>
      </w:r>
      <w:r>
        <w:t xml:space="preserve">schools. In this section, we present key indicators of students’ substance </w:t>
      </w:r>
      <w:r w:rsidR="00524948">
        <w:t xml:space="preserve">use </w:t>
      </w:r>
      <w:r>
        <w:t>(alcohol, marijuana, vaping products and prescription drugs) and mental health. This analysis is intended to assess overall trend</w:t>
      </w:r>
      <w:r w:rsidR="00A00CE3">
        <w:t>s</w:t>
      </w:r>
      <w:r>
        <w:t xml:space="preserve"> </w:t>
      </w:r>
      <w:r w:rsidR="00A00CE3">
        <w:t xml:space="preserve">in </w:t>
      </w:r>
      <w:r>
        <w:t>these key indicators in the CC-NH catchment area</w:t>
      </w:r>
      <w:r w:rsidR="00A00CE3">
        <w:t>.</w:t>
      </w:r>
      <w:r w:rsidR="003E304E">
        <w:t xml:space="preserve"> Exhibits 26 through 36 show the results of this comparative trend analysis.</w:t>
      </w:r>
    </w:p>
    <w:p w14:paraId="2EA20C7C" w14:textId="77777777" w:rsidR="0037671A" w:rsidRDefault="003E304E" w:rsidP="0037671A">
      <w:r>
        <w:t xml:space="preserve">The results can be summarized as follows: </w:t>
      </w:r>
      <w:r w:rsidR="0037671A">
        <w:t xml:space="preserve">In 2019, there </w:t>
      </w:r>
      <w:r w:rsidR="005C2BDF">
        <w:t>was</w:t>
      </w:r>
      <w:r w:rsidR="0037671A">
        <w:t xml:space="preserve"> a decline in </w:t>
      </w:r>
      <w:r w:rsidR="005C2BDF">
        <w:t xml:space="preserve">past-30-day </w:t>
      </w:r>
      <w:r w:rsidR="0037671A">
        <w:t>alcohol and prescription drug use with a complementary increase in disapproval of alcohol use</w:t>
      </w:r>
      <w:r w:rsidR="0037671A" w:rsidRPr="00E741A2">
        <w:t xml:space="preserve"> when compared to 2017</w:t>
      </w:r>
      <w:r w:rsidR="0037671A">
        <w:t>. However, there is an increase in the proportion of students who perceive slight or no risk from binge drinking</w:t>
      </w:r>
      <w:r>
        <w:t>, an important risk factor for alcohol misuse</w:t>
      </w:r>
      <w:r w:rsidR="0037671A">
        <w:t xml:space="preserve">. The </w:t>
      </w:r>
      <w:r w:rsidR="002E368F">
        <w:t xml:space="preserve">past-30-day </w:t>
      </w:r>
      <w:r w:rsidR="0037671A">
        <w:t xml:space="preserve">use of marijuana and vaping products increased </w:t>
      </w:r>
      <w:r w:rsidR="002E368F">
        <w:t xml:space="preserve">between 2017 and 2019 </w:t>
      </w:r>
      <w:r w:rsidR="0037671A">
        <w:t xml:space="preserve">along with the proportion of students who perceive slight or no risk from marijuana use. When compared to 2017, a higher proportion of students </w:t>
      </w:r>
      <w:r w:rsidR="002E368F">
        <w:t>in 2019</w:t>
      </w:r>
      <w:r w:rsidR="0037671A">
        <w:t xml:space="preserve"> felt sad/hopeless daily, purposely caused non-fatal self-injury</w:t>
      </w:r>
      <w:r w:rsidR="002E368F">
        <w:t>,</w:t>
      </w:r>
      <w:r w:rsidR="0037671A">
        <w:t xml:space="preserve"> and seriously considered suicide in the past 12 months.</w:t>
      </w:r>
    </w:p>
    <w:p w14:paraId="19C5C2B9" w14:textId="52EBFBF3" w:rsidR="003E304E" w:rsidRDefault="003E304E" w:rsidP="0037671A">
      <w:r>
        <w:t>In comparison to the state as a whole, Greater Nashua students appear to have slightly lower risk for and higher protection against behavioral health problems</w:t>
      </w:r>
      <w:r w:rsidR="000D7EC0">
        <w:t xml:space="preserve">, though </w:t>
      </w:r>
      <w:r>
        <w:t xml:space="preserve">the indicators </w:t>
      </w:r>
      <w:r w:rsidR="000D7EC0">
        <w:t xml:space="preserve">for the group are </w:t>
      </w:r>
      <w:r>
        <w:t>trending in the same direction as the state as a whole.</w:t>
      </w:r>
    </w:p>
    <w:p w14:paraId="52CBE63B" w14:textId="2AEBAF91" w:rsidR="0037671A" w:rsidRDefault="0037671A" w:rsidP="00AC143D">
      <w:pPr>
        <w:pStyle w:val="ExhibitTitle"/>
        <w:ind w:right="-450"/>
      </w:pPr>
      <w:bookmarkStart w:id="74" w:name="_Toc64988296"/>
      <w:r w:rsidRPr="00BC6E34">
        <w:lastRenderedPageBreak/>
        <w:t xml:space="preserve">Exhibit </w:t>
      </w:r>
      <w:r>
        <w:t>2</w:t>
      </w:r>
      <w:r w:rsidR="003F092C">
        <w:t>6</w:t>
      </w:r>
      <w:r w:rsidRPr="00BC6E34">
        <w:t xml:space="preserve">. </w:t>
      </w:r>
      <w:r>
        <w:t xml:space="preserve">Percentage of students who had </w:t>
      </w:r>
      <w:r w:rsidRPr="00EE66BF">
        <w:t xml:space="preserve">at least one drink of alcohol during the </w:t>
      </w:r>
      <w:r>
        <w:t>past</w:t>
      </w:r>
      <w:r w:rsidRPr="00EE66BF">
        <w:t xml:space="preserve"> 30 days</w:t>
      </w:r>
      <w:bookmarkEnd w:id="74"/>
    </w:p>
    <w:p w14:paraId="734C5A05" w14:textId="77777777" w:rsidR="0037671A" w:rsidRDefault="0037671A" w:rsidP="00E43419">
      <w:pPr>
        <w:spacing w:after="0"/>
      </w:pPr>
      <w:r>
        <w:rPr>
          <w:noProof/>
        </w:rPr>
        <w:drawing>
          <wp:inline distT="0" distB="0" distL="0" distR="0" wp14:anchorId="6B9606E0" wp14:editId="7A1D5A29">
            <wp:extent cx="4114800" cy="1737360"/>
            <wp:effectExtent l="0" t="0" r="0" b="15240"/>
            <wp:docPr id="41" name="Chart 41">
              <a:extLst xmlns:a="http://schemas.openxmlformats.org/drawingml/2006/main">
                <a:ext uri="{FF2B5EF4-FFF2-40B4-BE49-F238E27FC236}">
                  <a16:creationId xmlns:a16="http://schemas.microsoft.com/office/drawing/2014/main" id="{DD7991EB-4576-4E09-9E46-0511B0488C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32663EE" w14:textId="77777777" w:rsidR="0037671A" w:rsidRDefault="0037671A" w:rsidP="0037671A">
      <w:pPr>
        <w:pStyle w:val="FigureSource"/>
      </w:pPr>
      <w:r>
        <w:t xml:space="preserve">Source: </w:t>
      </w:r>
      <w:r w:rsidRPr="00366129">
        <w:t>2017 &amp; 2019 YRBS data for N</w:t>
      </w:r>
      <w:r>
        <w:t xml:space="preserve">ew </w:t>
      </w:r>
      <w:r w:rsidRPr="00366129">
        <w:t>H</w:t>
      </w:r>
      <w:r>
        <w:t>ampshire</w:t>
      </w:r>
      <w:r w:rsidRPr="00366129">
        <w:t xml:space="preserve"> and Greater Nashua </w:t>
      </w:r>
    </w:p>
    <w:p w14:paraId="02D493E1" w14:textId="77777777" w:rsidR="0037671A" w:rsidRDefault="0037671A" w:rsidP="008F3C56">
      <w:pPr>
        <w:pStyle w:val="ExhibitTitle"/>
      </w:pPr>
      <w:bookmarkStart w:id="75" w:name="_Toc64988297"/>
      <w:r w:rsidRPr="00BC6E34">
        <w:t xml:space="preserve">Exhibit </w:t>
      </w:r>
      <w:r>
        <w:t>2</w:t>
      </w:r>
      <w:r w:rsidR="003F092C">
        <w:t>7</w:t>
      </w:r>
      <w:r w:rsidRPr="00BC6E34">
        <w:t xml:space="preserve">. </w:t>
      </w:r>
      <w:r>
        <w:t xml:space="preserve">Percentage of students who binged* on alcohol </w:t>
      </w:r>
      <w:r w:rsidRPr="00EE66BF">
        <w:t xml:space="preserve">during the </w:t>
      </w:r>
      <w:r>
        <w:t>past</w:t>
      </w:r>
      <w:r w:rsidRPr="00EE66BF">
        <w:t xml:space="preserve"> 30 days</w:t>
      </w:r>
      <w:bookmarkEnd w:id="75"/>
    </w:p>
    <w:p w14:paraId="3039E03A" w14:textId="77777777" w:rsidR="0037671A" w:rsidRDefault="0037671A" w:rsidP="00E43419">
      <w:pPr>
        <w:spacing w:after="0"/>
      </w:pPr>
      <w:r>
        <w:rPr>
          <w:noProof/>
        </w:rPr>
        <w:drawing>
          <wp:inline distT="0" distB="0" distL="0" distR="0" wp14:anchorId="160F2DA8" wp14:editId="5318C005">
            <wp:extent cx="4114800" cy="1737360"/>
            <wp:effectExtent l="0" t="0" r="0" b="15240"/>
            <wp:docPr id="45" name="Chart 45">
              <a:extLst xmlns:a="http://schemas.openxmlformats.org/drawingml/2006/main">
                <a:ext uri="{FF2B5EF4-FFF2-40B4-BE49-F238E27FC236}">
                  <a16:creationId xmlns:a16="http://schemas.microsoft.com/office/drawing/2014/main" id="{9FDBAFB5-4B02-4A40-B6EA-B5065035C0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75BE179" w14:textId="3BE4612B" w:rsidR="0037671A" w:rsidRDefault="0037671A" w:rsidP="00AC143D">
      <w:pPr>
        <w:pStyle w:val="FigureSource"/>
        <w:spacing w:after="0"/>
      </w:pPr>
      <w:r>
        <w:t>*</w:t>
      </w:r>
      <w:r w:rsidR="000D7EC0">
        <w:t>In 2017, b</w:t>
      </w:r>
      <w:r w:rsidRPr="00E716C3">
        <w:t xml:space="preserve">inging is defined as </w:t>
      </w:r>
      <w:r>
        <w:t xml:space="preserve">having </w:t>
      </w:r>
      <w:r w:rsidRPr="00035DE2">
        <w:t xml:space="preserve">5 or more alcoholic drinks in </w:t>
      </w:r>
      <w:r>
        <w:t>a row</w:t>
      </w:r>
      <w:r w:rsidR="000D7EC0">
        <w:t xml:space="preserve">; in 2019, it is </w:t>
      </w:r>
      <w:r>
        <w:t>defined</w:t>
      </w:r>
      <w:r w:rsidR="000D7EC0">
        <w:t xml:space="preserve"> </w:t>
      </w:r>
      <w:r w:rsidR="000D7EC0">
        <w:br/>
      </w:r>
      <w:r>
        <w:t xml:space="preserve">as </w:t>
      </w:r>
      <w:r w:rsidR="000D7EC0">
        <w:t xml:space="preserve">having </w:t>
      </w:r>
      <w:r>
        <w:t>4</w:t>
      </w:r>
      <w:r w:rsidRPr="00E716C3">
        <w:t xml:space="preserve"> (females) or 5 (males) drinks in</w:t>
      </w:r>
      <w:r>
        <w:t xml:space="preserve"> </w:t>
      </w:r>
      <w:r w:rsidRPr="00E716C3">
        <w:t>a row</w:t>
      </w:r>
      <w:r>
        <w:t xml:space="preserve"> in 2019.</w:t>
      </w:r>
    </w:p>
    <w:p w14:paraId="5AE5A59D" w14:textId="77777777" w:rsidR="0037671A" w:rsidRDefault="0037671A" w:rsidP="0037671A">
      <w:pPr>
        <w:pStyle w:val="FigureSource"/>
      </w:pPr>
      <w:r>
        <w:t xml:space="preserve">Source: </w:t>
      </w:r>
      <w:r w:rsidRPr="00366129">
        <w:t>2017 &amp; 2019 YRBS data for N</w:t>
      </w:r>
      <w:r>
        <w:t xml:space="preserve">ew </w:t>
      </w:r>
      <w:r w:rsidRPr="00366129">
        <w:t>H</w:t>
      </w:r>
      <w:r>
        <w:t>ampshire</w:t>
      </w:r>
      <w:r w:rsidRPr="00366129">
        <w:t xml:space="preserve"> and Greater Nashua </w:t>
      </w:r>
    </w:p>
    <w:p w14:paraId="370F5CE4" w14:textId="77777777" w:rsidR="0037671A" w:rsidRPr="00B43872" w:rsidRDefault="0037671A" w:rsidP="008F3C56">
      <w:pPr>
        <w:pStyle w:val="ExhibitTitle"/>
      </w:pPr>
      <w:bookmarkStart w:id="76" w:name="_Toc64988298"/>
      <w:r w:rsidRPr="00B43872">
        <w:t>Exhibit 2</w:t>
      </w:r>
      <w:r w:rsidR="003F092C">
        <w:t>8</w:t>
      </w:r>
      <w:r w:rsidRPr="00B43872">
        <w:t>. Percentage of students who perceive slight or no risk from binge drinking</w:t>
      </w:r>
      <w:bookmarkEnd w:id="76"/>
    </w:p>
    <w:p w14:paraId="636B5D09" w14:textId="77777777" w:rsidR="0037671A" w:rsidRDefault="0037671A" w:rsidP="00E43419">
      <w:pPr>
        <w:spacing w:after="0"/>
      </w:pPr>
      <w:r>
        <w:rPr>
          <w:noProof/>
        </w:rPr>
        <w:drawing>
          <wp:inline distT="0" distB="0" distL="0" distR="0" wp14:anchorId="30FDF99F" wp14:editId="778B53A8">
            <wp:extent cx="4114800" cy="1737360"/>
            <wp:effectExtent l="0" t="0" r="0" b="15240"/>
            <wp:docPr id="37" name="Chart 37">
              <a:extLst xmlns:a="http://schemas.openxmlformats.org/drawingml/2006/main">
                <a:ext uri="{FF2B5EF4-FFF2-40B4-BE49-F238E27FC236}">
                  <a16:creationId xmlns:a16="http://schemas.microsoft.com/office/drawing/2014/main" id="{A4114E32-1BDB-44DD-B9A6-CBB1DCBEE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8DD03AE" w14:textId="77777777" w:rsidR="0037671A" w:rsidRDefault="0037671A" w:rsidP="00937D69">
      <w:pPr>
        <w:pStyle w:val="FigureSource"/>
      </w:pPr>
      <w:r>
        <w:t xml:space="preserve">Source: </w:t>
      </w:r>
      <w:r w:rsidRPr="00366129">
        <w:t>2017 &amp; 2019 YRBS data for N</w:t>
      </w:r>
      <w:r>
        <w:t xml:space="preserve">ew </w:t>
      </w:r>
      <w:r w:rsidRPr="00366129">
        <w:t>H</w:t>
      </w:r>
      <w:r>
        <w:t>ampshire</w:t>
      </w:r>
      <w:r w:rsidRPr="00366129">
        <w:t xml:space="preserve"> and Greater Nashua </w:t>
      </w:r>
    </w:p>
    <w:p w14:paraId="41E2E2C8" w14:textId="77777777" w:rsidR="0037671A" w:rsidRPr="00B43872" w:rsidRDefault="0037671A" w:rsidP="008F3C56">
      <w:pPr>
        <w:pStyle w:val="ExhibitTitle"/>
      </w:pPr>
      <w:bookmarkStart w:id="77" w:name="_Toc64988299"/>
      <w:r w:rsidRPr="00B43872">
        <w:lastRenderedPageBreak/>
        <w:t>Exhibit 2</w:t>
      </w:r>
      <w:r w:rsidR="003F092C">
        <w:t>9</w:t>
      </w:r>
      <w:r w:rsidRPr="00B43872">
        <w:t>. Percentage of students who disapprove or strongly disapprove of alcohol use</w:t>
      </w:r>
      <w:bookmarkEnd w:id="77"/>
    </w:p>
    <w:p w14:paraId="3822F1D1" w14:textId="77777777" w:rsidR="0037671A" w:rsidRDefault="0037671A" w:rsidP="00E43419">
      <w:pPr>
        <w:pStyle w:val="FigureSource"/>
        <w:spacing w:after="0"/>
      </w:pPr>
      <w:r>
        <w:rPr>
          <w:noProof/>
        </w:rPr>
        <w:drawing>
          <wp:inline distT="0" distB="0" distL="0" distR="0" wp14:anchorId="2908F81E" wp14:editId="299BD529">
            <wp:extent cx="4114800" cy="1737360"/>
            <wp:effectExtent l="0" t="0" r="0" b="15240"/>
            <wp:docPr id="46" name="Chart 46">
              <a:extLst xmlns:a="http://schemas.openxmlformats.org/drawingml/2006/main">
                <a:ext uri="{FF2B5EF4-FFF2-40B4-BE49-F238E27FC236}">
                  <a16:creationId xmlns:a16="http://schemas.microsoft.com/office/drawing/2014/main" id="{EB5762D9-D2F6-47E6-94CB-0F8DB28D5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A039F6">
        <w:t xml:space="preserve"> </w:t>
      </w:r>
    </w:p>
    <w:p w14:paraId="2FA3ACA1" w14:textId="77777777" w:rsidR="0037671A" w:rsidRDefault="0037671A" w:rsidP="0037671A">
      <w:pPr>
        <w:pStyle w:val="FigureSource"/>
      </w:pPr>
      <w:r>
        <w:t xml:space="preserve">Source: </w:t>
      </w:r>
      <w:r w:rsidRPr="00366129">
        <w:t>2017 &amp; 2019 YRBS data for N</w:t>
      </w:r>
      <w:r>
        <w:t xml:space="preserve">ew </w:t>
      </w:r>
      <w:r w:rsidRPr="00366129">
        <w:t>H</w:t>
      </w:r>
      <w:r>
        <w:t>ampshire</w:t>
      </w:r>
      <w:r w:rsidRPr="00366129">
        <w:t xml:space="preserve"> and Greater Nashua </w:t>
      </w:r>
    </w:p>
    <w:p w14:paraId="35225DD4" w14:textId="77777777" w:rsidR="0037671A" w:rsidRPr="00B43872" w:rsidRDefault="0037671A" w:rsidP="00AC143D">
      <w:pPr>
        <w:pStyle w:val="ExhibitTitle"/>
        <w:ind w:right="-180"/>
      </w:pPr>
      <w:bookmarkStart w:id="78" w:name="_Toc64988300"/>
      <w:r w:rsidRPr="00B43872">
        <w:t xml:space="preserve">Exhibit </w:t>
      </w:r>
      <w:r w:rsidR="003F092C">
        <w:t>30</w:t>
      </w:r>
      <w:r w:rsidRPr="00B43872">
        <w:t>. Percentage of students who used marijuana at least once during the past 30 days</w:t>
      </w:r>
      <w:bookmarkEnd w:id="78"/>
    </w:p>
    <w:p w14:paraId="0276507B" w14:textId="77777777" w:rsidR="0037671A" w:rsidRDefault="0037671A" w:rsidP="00E43419">
      <w:pPr>
        <w:spacing w:after="0"/>
      </w:pPr>
      <w:r>
        <w:rPr>
          <w:noProof/>
        </w:rPr>
        <w:drawing>
          <wp:inline distT="0" distB="0" distL="0" distR="0" wp14:anchorId="6144645E" wp14:editId="49C5E2AD">
            <wp:extent cx="4114800" cy="1737360"/>
            <wp:effectExtent l="0" t="0" r="0" b="15240"/>
            <wp:docPr id="47" name="Chart 47">
              <a:extLst xmlns:a="http://schemas.openxmlformats.org/drawingml/2006/main">
                <a:ext uri="{FF2B5EF4-FFF2-40B4-BE49-F238E27FC236}">
                  <a16:creationId xmlns:a16="http://schemas.microsoft.com/office/drawing/2014/main" id="{902FFC5D-C289-4890-8C49-2AA471094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FA3695" w14:textId="77777777" w:rsidR="0037671A" w:rsidRDefault="0037671A" w:rsidP="0037671A">
      <w:pPr>
        <w:pStyle w:val="FigureSource"/>
      </w:pPr>
      <w:r>
        <w:t xml:space="preserve">Source: </w:t>
      </w:r>
      <w:r w:rsidRPr="00366129">
        <w:t>2017 &amp; 2019 YRBS data for N</w:t>
      </w:r>
      <w:r>
        <w:t xml:space="preserve">ew </w:t>
      </w:r>
      <w:r w:rsidRPr="00366129">
        <w:t>H</w:t>
      </w:r>
      <w:r>
        <w:t>ampshire</w:t>
      </w:r>
      <w:r w:rsidRPr="00366129">
        <w:t xml:space="preserve"> and Greater Nashua </w:t>
      </w:r>
    </w:p>
    <w:p w14:paraId="0D0CB8F1" w14:textId="77777777" w:rsidR="00B43872" w:rsidRPr="00B43872" w:rsidRDefault="0037671A" w:rsidP="008F3C56">
      <w:pPr>
        <w:pStyle w:val="ExhibitTitle"/>
      </w:pPr>
      <w:bookmarkStart w:id="79" w:name="_Toc64988301"/>
      <w:r w:rsidRPr="00B43872">
        <w:t xml:space="preserve">Exhibit </w:t>
      </w:r>
      <w:r w:rsidR="003F092C">
        <w:t>31</w:t>
      </w:r>
      <w:r w:rsidR="00AF05A5">
        <w:t>.</w:t>
      </w:r>
      <w:r w:rsidRPr="00B43872">
        <w:t xml:space="preserve"> Percentage of students who perceive slight or no risk from marijuana use</w:t>
      </w:r>
      <w:bookmarkEnd w:id="79"/>
    </w:p>
    <w:p w14:paraId="3C1FB29E" w14:textId="77777777" w:rsidR="0037671A" w:rsidRDefault="0037671A" w:rsidP="00E43419">
      <w:pPr>
        <w:spacing w:after="0"/>
        <w:rPr>
          <w:rFonts w:asciiTheme="majorHAnsi" w:hAnsiTheme="majorHAnsi"/>
          <w:sz w:val="24"/>
          <w:szCs w:val="24"/>
        </w:rPr>
      </w:pPr>
      <w:r>
        <w:rPr>
          <w:noProof/>
        </w:rPr>
        <w:drawing>
          <wp:inline distT="0" distB="0" distL="0" distR="0" wp14:anchorId="6DC23E25" wp14:editId="7C72E94D">
            <wp:extent cx="4114800" cy="1737360"/>
            <wp:effectExtent l="0" t="0" r="0" b="15240"/>
            <wp:docPr id="54" name="Chart 54">
              <a:extLst xmlns:a="http://schemas.openxmlformats.org/drawingml/2006/main">
                <a:ext uri="{FF2B5EF4-FFF2-40B4-BE49-F238E27FC236}">
                  <a16:creationId xmlns:a16="http://schemas.microsoft.com/office/drawing/2014/main" id="{60A315ED-F34D-4CFC-A1FE-09EC4167ED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71432AA" w14:textId="77777777" w:rsidR="0037671A" w:rsidRDefault="0037671A" w:rsidP="0037671A">
      <w:pPr>
        <w:pStyle w:val="FigureSource"/>
      </w:pPr>
      <w:r>
        <w:t xml:space="preserve">Source: </w:t>
      </w:r>
      <w:r w:rsidRPr="00366129">
        <w:t>2017 &amp; 2019 YRBS data for N</w:t>
      </w:r>
      <w:r>
        <w:t xml:space="preserve">ew </w:t>
      </w:r>
      <w:r w:rsidRPr="00366129">
        <w:t>H</w:t>
      </w:r>
      <w:r>
        <w:t>ampshire</w:t>
      </w:r>
      <w:r w:rsidRPr="00366129">
        <w:t xml:space="preserve"> and Greater Nashua </w:t>
      </w:r>
    </w:p>
    <w:p w14:paraId="4CE86060" w14:textId="77777777" w:rsidR="0037671A" w:rsidRPr="00B43872" w:rsidRDefault="0037671A" w:rsidP="008F3C56">
      <w:pPr>
        <w:pStyle w:val="ExhibitTitle"/>
      </w:pPr>
      <w:bookmarkStart w:id="80" w:name="_Toc64988302"/>
      <w:r w:rsidRPr="00B43872">
        <w:lastRenderedPageBreak/>
        <w:t xml:space="preserve">Exhibit </w:t>
      </w:r>
      <w:r w:rsidR="00CF1AAB">
        <w:t>3</w:t>
      </w:r>
      <w:r w:rsidR="003F092C">
        <w:t>2</w:t>
      </w:r>
      <w:r w:rsidRPr="00B43872">
        <w:t>. Percentage of students who used electronic vaping products in the past 30 days</w:t>
      </w:r>
      <w:bookmarkEnd w:id="80"/>
    </w:p>
    <w:p w14:paraId="09C61AB2" w14:textId="77777777" w:rsidR="0037671A" w:rsidRDefault="0037671A" w:rsidP="00E43419">
      <w:pPr>
        <w:spacing w:after="0"/>
      </w:pPr>
      <w:r>
        <w:rPr>
          <w:noProof/>
        </w:rPr>
        <w:drawing>
          <wp:inline distT="0" distB="0" distL="0" distR="0" wp14:anchorId="08E3B7A8" wp14:editId="5F6D2030">
            <wp:extent cx="4114800" cy="1737360"/>
            <wp:effectExtent l="0" t="0" r="0" b="15240"/>
            <wp:docPr id="55" name="Chart 55">
              <a:extLst xmlns:a="http://schemas.openxmlformats.org/drawingml/2006/main">
                <a:ext uri="{FF2B5EF4-FFF2-40B4-BE49-F238E27FC236}">
                  <a16:creationId xmlns:a16="http://schemas.microsoft.com/office/drawing/2014/main" id="{F2656FEF-67CF-4A1D-9D0A-F28409FDB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FFACDA6" w14:textId="77777777" w:rsidR="0037671A" w:rsidRDefault="0037671A" w:rsidP="0037671A">
      <w:pPr>
        <w:pStyle w:val="FigureSource"/>
      </w:pPr>
      <w:r>
        <w:t xml:space="preserve">Source: </w:t>
      </w:r>
      <w:r w:rsidRPr="00366129">
        <w:t>2017 &amp; 2019 YRBS data for N</w:t>
      </w:r>
      <w:r>
        <w:t xml:space="preserve">ew </w:t>
      </w:r>
      <w:r w:rsidRPr="00366129">
        <w:t>H</w:t>
      </w:r>
      <w:r>
        <w:t>ampshire</w:t>
      </w:r>
      <w:r w:rsidRPr="00366129">
        <w:t xml:space="preserve"> and Greater Nashua </w:t>
      </w:r>
    </w:p>
    <w:p w14:paraId="23B00883" w14:textId="77777777" w:rsidR="0037671A" w:rsidRPr="00B43872" w:rsidRDefault="0037671A" w:rsidP="008F3C56">
      <w:pPr>
        <w:pStyle w:val="ExhibitTitle"/>
      </w:pPr>
      <w:bookmarkStart w:id="81" w:name="_Toc64988303"/>
      <w:r w:rsidRPr="00B43872">
        <w:t>Exhibit 3</w:t>
      </w:r>
      <w:r w:rsidR="003F092C">
        <w:t>3</w:t>
      </w:r>
      <w:r w:rsidRPr="00B43872">
        <w:t>. Percentage of students who took a prescription drug without a doctor’s prescription at least once during the past 30 days</w:t>
      </w:r>
      <w:bookmarkEnd w:id="81"/>
    </w:p>
    <w:p w14:paraId="33434DB3" w14:textId="77777777" w:rsidR="0037671A" w:rsidRDefault="0037671A" w:rsidP="00E43419">
      <w:pPr>
        <w:spacing w:after="0"/>
      </w:pPr>
      <w:r>
        <w:rPr>
          <w:noProof/>
        </w:rPr>
        <w:drawing>
          <wp:inline distT="0" distB="0" distL="0" distR="0" wp14:anchorId="3AD16756" wp14:editId="1C54EC09">
            <wp:extent cx="4114800" cy="1737360"/>
            <wp:effectExtent l="0" t="0" r="0" b="15240"/>
            <wp:docPr id="56" name="Chart 56">
              <a:extLst xmlns:a="http://schemas.openxmlformats.org/drawingml/2006/main">
                <a:ext uri="{FF2B5EF4-FFF2-40B4-BE49-F238E27FC236}">
                  <a16:creationId xmlns:a16="http://schemas.microsoft.com/office/drawing/2014/main" id="{BD3B7347-42F9-4330-B37D-61D7154817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808AA23" w14:textId="77777777" w:rsidR="0037671A" w:rsidRDefault="0037671A" w:rsidP="0037671A">
      <w:pPr>
        <w:pStyle w:val="FigureSource"/>
      </w:pPr>
      <w:r>
        <w:t xml:space="preserve">Source: </w:t>
      </w:r>
      <w:r w:rsidRPr="00366129">
        <w:t>2017 &amp; 2019 YRBS data for N</w:t>
      </w:r>
      <w:r>
        <w:t xml:space="preserve">ew </w:t>
      </w:r>
      <w:r w:rsidRPr="00366129">
        <w:t>H</w:t>
      </w:r>
      <w:r>
        <w:t>ampshire</w:t>
      </w:r>
      <w:r w:rsidRPr="00366129">
        <w:t xml:space="preserve"> and Greater Nashua </w:t>
      </w:r>
    </w:p>
    <w:p w14:paraId="3F73DFF3" w14:textId="77777777" w:rsidR="0037671A" w:rsidRPr="00B43872" w:rsidRDefault="0037671A" w:rsidP="008F3C56">
      <w:pPr>
        <w:pStyle w:val="ExhibitTitle"/>
      </w:pPr>
      <w:bookmarkStart w:id="82" w:name="_Toc64988304"/>
      <w:r w:rsidRPr="00B43872">
        <w:t>Exhibit 3</w:t>
      </w:r>
      <w:r w:rsidR="003F092C">
        <w:t>4</w:t>
      </w:r>
      <w:r w:rsidRPr="00B43872">
        <w:t>. Percentage of students who felt sad or hopeless every day for 2 weeks in a row during the past 12 months</w:t>
      </w:r>
      <w:bookmarkEnd w:id="82"/>
    </w:p>
    <w:p w14:paraId="5B6341F2" w14:textId="77777777" w:rsidR="00B43872" w:rsidRPr="00B43872" w:rsidRDefault="00B43872" w:rsidP="00E43419">
      <w:pPr>
        <w:spacing w:after="0"/>
        <w:rPr>
          <w:rFonts w:asciiTheme="majorHAnsi" w:hAnsiTheme="majorHAnsi"/>
          <w:sz w:val="24"/>
          <w:szCs w:val="24"/>
        </w:rPr>
      </w:pPr>
      <w:r>
        <w:rPr>
          <w:noProof/>
        </w:rPr>
        <w:drawing>
          <wp:inline distT="0" distB="0" distL="0" distR="0" wp14:anchorId="65656561" wp14:editId="7878BCF5">
            <wp:extent cx="4114800" cy="1737360"/>
            <wp:effectExtent l="0" t="0" r="0" b="15240"/>
            <wp:docPr id="57" name="Chart 57">
              <a:extLst xmlns:a="http://schemas.openxmlformats.org/drawingml/2006/main">
                <a:ext uri="{FF2B5EF4-FFF2-40B4-BE49-F238E27FC236}">
                  <a16:creationId xmlns:a16="http://schemas.microsoft.com/office/drawing/2014/main" id="{9BCC74BB-5622-43A1-ABF4-33159B4D1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9E5C47F" w14:textId="77777777" w:rsidR="0037671A" w:rsidRDefault="0037671A" w:rsidP="0037671A">
      <w:pPr>
        <w:pStyle w:val="FigureSource"/>
      </w:pPr>
      <w:r>
        <w:t xml:space="preserve">Source: </w:t>
      </w:r>
      <w:r w:rsidRPr="00366129">
        <w:t>2017 &amp; 2019 YRBS data for N</w:t>
      </w:r>
      <w:r>
        <w:t xml:space="preserve">ew </w:t>
      </w:r>
      <w:r w:rsidRPr="00366129">
        <w:t>H</w:t>
      </w:r>
      <w:r>
        <w:t>ampshire</w:t>
      </w:r>
      <w:r w:rsidRPr="00366129">
        <w:t xml:space="preserve"> and Greater Nashua </w:t>
      </w:r>
    </w:p>
    <w:p w14:paraId="4EAFFEF9" w14:textId="77777777" w:rsidR="0037671A" w:rsidRPr="00B43872" w:rsidRDefault="0037671A" w:rsidP="008F3C56">
      <w:pPr>
        <w:pStyle w:val="ExhibitTitle"/>
      </w:pPr>
      <w:bookmarkStart w:id="83" w:name="_Toc64988305"/>
      <w:r w:rsidRPr="00B43872">
        <w:lastRenderedPageBreak/>
        <w:t>Exhibit 3</w:t>
      </w:r>
      <w:r w:rsidR="003F092C">
        <w:t>5</w:t>
      </w:r>
      <w:r w:rsidRPr="00B43872">
        <w:t>. Percentage of students who did something to purposely hurt themselves without wanting to die during the past 12 months</w:t>
      </w:r>
      <w:bookmarkEnd w:id="83"/>
    </w:p>
    <w:p w14:paraId="50D57132" w14:textId="77777777" w:rsidR="0037671A" w:rsidRDefault="0037671A" w:rsidP="00E43419">
      <w:pPr>
        <w:spacing w:after="0"/>
      </w:pPr>
      <w:r>
        <w:rPr>
          <w:noProof/>
        </w:rPr>
        <w:drawing>
          <wp:inline distT="0" distB="0" distL="0" distR="0" wp14:anchorId="5818B27B" wp14:editId="0CDD9791">
            <wp:extent cx="4114800" cy="1737360"/>
            <wp:effectExtent l="0" t="0" r="0" b="15240"/>
            <wp:docPr id="58" name="Chart 58">
              <a:extLst xmlns:a="http://schemas.openxmlformats.org/drawingml/2006/main">
                <a:ext uri="{FF2B5EF4-FFF2-40B4-BE49-F238E27FC236}">
                  <a16:creationId xmlns:a16="http://schemas.microsoft.com/office/drawing/2014/main" id="{55EC9DE4-0695-4DD4-B8A9-DCFD5E7DE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76463BB" w14:textId="77777777" w:rsidR="0037671A" w:rsidRPr="00BA5A0D" w:rsidRDefault="0037671A" w:rsidP="0037671A">
      <w:pPr>
        <w:pStyle w:val="FigureSource"/>
      </w:pPr>
      <w:r>
        <w:t xml:space="preserve">Source: </w:t>
      </w:r>
      <w:r w:rsidRPr="00366129">
        <w:t>2017 &amp; 2019 YRBS data for N</w:t>
      </w:r>
      <w:r>
        <w:t xml:space="preserve">ew </w:t>
      </w:r>
      <w:r w:rsidRPr="00366129">
        <w:t>H</w:t>
      </w:r>
      <w:r>
        <w:t>ampshire</w:t>
      </w:r>
      <w:r w:rsidRPr="00366129">
        <w:t xml:space="preserve"> and Greater Nashua </w:t>
      </w:r>
    </w:p>
    <w:p w14:paraId="5152CB3C" w14:textId="77777777" w:rsidR="0037671A" w:rsidRPr="00B43872" w:rsidRDefault="0037671A" w:rsidP="008F3C56">
      <w:pPr>
        <w:pStyle w:val="ExhibitTitle"/>
      </w:pPr>
      <w:bookmarkStart w:id="84" w:name="_Toc64988306"/>
      <w:r w:rsidRPr="00B43872">
        <w:t>Exhibit 3</w:t>
      </w:r>
      <w:r w:rsidR="003F092C">
        <w:t>6</w:t>
      </w:r>
      <w:r w:rsidRPr="00B43872">
        <w:t>. Percentage of students who seriously considered attempting suicide during the past 12 months</w:t>
      </w:r>
      <w:bookmarkEnd w:id="84"/>
    </w:p>
    <w:p w14:paraId="704B8F84" w14:textId="77777777" w:rsidR="0037671A" w:rsidRDefault="0037671A" w:rsidP="00E43419">
      <w:pPr>
        <w:spacing w:after="0"/>
      </w:pPr>
      <w:r>
        <w:rPr>
          <w:noProof/>
        </w:rPr>
        <w:drawing>
          <wp:inline distT="0" distB="0" distL="0" distR="0" wp14:anchorId="4EB113B7" wp14:editId="2C0C4F86">
            <wp:extent cx="4114800" cy="1737360"/>
            <wp:effectExtent l="0" t="0" r="0" b="15240"/>
            <wp:docPr id="59" name="Chart 59">
              <a:extLst xmlns:a="http://schemas.openxmlformats.org/drawingml/2006/main">
                <a:ext uri="{FF2B5EF4-FFF2-40B4-BE49-F238E27FC236}">
                  <a16:creationId xmlns:a16="http://schemas.microsoft.com/office/drawing/2014/main" id="{2FFA54E2-0CA8-40B8-877B-76FCF032E5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DCDA92D" w14:textId="77777777" w:rsidR="0037671A" w:rsidRDefault="0037671A" w:rsidP="0037671A">
      <w:pPr>
        <w:pStyle w:val="FigureSource"/>
      </w:pPr>
      <w:r>
        <w:t xml:space="preserve">Source: </w:t>
      </w:r>
      <w:r w:rsidRPr="00366129">
        <w:t>2017 &amp; 2019 YRBS data for N</w:t>
      </w:r>
      <w:r>
        <w:t xml:space="preserve">ew </w:t>
      </w:r>
      <w:r w:rsidRPr="00366129">
        <w:t>H</w:t>
      </w:r>
      <w:r>
        <w:t>ampshire</w:t>
      </w:r>
      <w:r w:rsidRPr="00366129">
        <w:t xml:space="preserve"> and Greater Nashua </w:t>
      </w:r>
    </w:p>
    <w:p w14:paraId="75DFDE50" w14:textId="77777777" w:rsidR="003706D2" w:rsidRDefault="003A2208" w:rsidP="003706D2">
      <w:pPr>
        <w:pStyle w:val="Heading1"/>
      </w:pPr>
      <w:bookmarkStart w:id="85" w:name="_Toc64988263"/>
      <w:r>
        <w:t xml:space="preserve">State-Level </w:t>
      </w:r>
      <w:r w:rsidR="00F0643C">
        <w:t>Analysis Results</w:t>
      </w:r>
      <w:bookmarkEnd w:id="85"/>
    </w:p>
    <w:p w14:paraId="2860A165" w14:textId="77777777" w:rsidR="005421EB" w:rsidRDefault="002F0B1D" w:rsidP="005503BA">
      <w:pPr>
        <w:rPr>
          <w:rFonts w:eastAsia="Calibri" w:cs="Times New Roman"/>
          <w:color w:val="262626"/>
        </w:rPr>
      </w:pPr>
      <w:r>
        <w:rPr>
          <w:rFonts w:eastAsia="Calibri" w:cs="Times New Roman"/>
          <w:color w:val="262626"/>
        </w:rPr>
        <w:t xml:space="preserve">Given that CC-NH is a pilot program with a somewhat limited catchment area, there is no expectation that its impact will be reflected in state-level indicators. However, we monitor state-level trends as part of establishing the context for the program and in identifying areas of strength and need at the state level. </w:t>
      </w:r>
      <w:r w:rsidR="005421EB">
        <w:rPr>
          <w:rFonts w:eastAsia="Calibri" w:cs="Times New Roman"/>
          <w:color w:val="262626"/>
        </w:rPr>
        <w:t xml:space="preserve">The following figures show key measures being tracked from </w:t>
      </w:r>
      <w:r w:rsidR="00A91916">
        <w:rPr>
          <w:rFonts w:eastAsia="Calibri" w:cs="Times New Roman"/>
          <w:color w:val="262626"/>
        </w:rPr>
        <w:t>state-</w:t>
      </w:r>
      <w:r w:rsidR="00121804">
        <w:rPr>
          <w:rFonts w:eastAsia="Calibri" w:cs="Times New Roman"/>
          <w:color w:val="262626"/>
        </w:rPr>
        <w:t>level</w:t>
      </w:r>
      <w:r w:rsidR="005421EB">
        <w:rPr>
          <w:rFonts w:eastAsia="Calibri" w:cs="Times New Roman"/>
          <w:color w:val="262626"/>
        </w:rPr>
        <w:t xml:space="preserve"> </w:t>
      </w:r>
      <w:r>
        <w:rPr>
          <w:rFonts w:eastAsia="Calibri" w:cs="Times New Roman"/>
          <w:color w:val="262626"/>
        </w:rPr>
        <w:t xml:space="preserve">data </w:t>
      </w:r>
      <w:r w:rsidR="005421EB">
        <w:rPr>
          <w:rFonts w:eastAsia="Calibri" w:cs="Times New Roman"/>
          <w:color w:val="262626"/>
        </w:rPr>
        <w:t xml:space="preserve">sources. </w:t>
      </w:r>
    </w:p>
    <w:p w14:paraId="1E1C5CC3" w14:textId="77777777" w:rsidR="005421EB" w:rsidRDefault="0066048D" w:rsidP="00E43419">
      <w:pPr>
        <w:pStyle w:val="Heading3"/>
        <w:rPr>
          <w:rFonts w:eastAsia="Calibri"/>
        </w:rPr>
      </w:pPr>
      <w:bookmarkStart w:id="86" w:name="_Toc64988264"/>
      <w:r>
        <w:rPr>
          <w:rFonts w:eastAsia="Calibri"/>
        </w:rPr>
        <w:lastRenderedPageBreak/>
        <w:t>Substance Use</w:t>
      </w:r>
      <w:bookmarkEnd w:id="86"/>
    </w:p>
    <w:p w14:paraId="411F59BD" w14:textId="1023D1DA" w:rsidR="00B840C2" w:rsidRDefault="00DE0440" w:rsidP="008F3C56">
      <w:pPr>
        <w:pStyle w:val="ExhibitTitle"/>
      </w:pPr>
      <w:bookmarkStart w:id="87" w:name="_Toc64988307"/>
      <w:r>
        <w:t xml:space="preserve">Exhibit </w:t>
      </w:r>
      <w:r w:rsidR="00937D69">
        <w:t>3</w:t>
      </w:r>
      <w:r w:rsidR="003F092C">
        <w:t>7</w:t>
      </w:r>
      <w:r w:rsidR="00CE4D77">
        <w:t>. Percentage of</w:t>
      </w:r>
      <w:r w:rsidR="00CE4D77" w:rsidRPr="00CE4D77">
        <w:t xml:space="preserve"> </w:t>
      </w:r>
      <w:r w:rsidR="00CE4D77">
        <w:t>youth</w:t>
      </w:r>
      <w:r w:rsidR="00CE4D77" w:rsidRPr="00CE4D77">
        <w:t xml:space="preserve"> aged 12 to 20</w:t>
      </w:r>
      <w:r w:rsidR="00CE4D77">
        <w:t xml:space="preserve"> reporting alcohol use in the past month</w:t>
      </w:r>
      <w:bookmarkEnd w:id="87"/>
    </w:p>
    <w:p w14:paraId="6AC28AA3" w14:textId="514EB29A" w:rsidR="00610DF9" w:rsidRDefault="00610DF9" w:rsidP="00E43419">
      <w:pPr>
        <w:spacing w:after="0"/>
      </w:pPr>
      <w:r>
        <w:rPr>
          <w:noProof/>
        </w:rPr>
        <w:drawing>
          <wp:inline distT="0" distB="0" distL="0" distR="0" wp14:anchorId="22EB82F3" wp14:editId="2260F8D8">
            <wp:extent cx="5546785" cy="1737360"/>
            <wp:effectExtent l="0" t="0" r="15875" b="15240"/>
            <wp:docPr id="40" name="Chart 40">
              <a:extLst xmlns:a="http://schemas.openxmlformats.org/drawingml/2006/main">
                <a:ext uri="{FF2B5EF4-FFF2-40B4-BE49-F238E27FC236}">
                  <a16:creationId xmlns:a16="http://schemas.microsoft.com/office/drawing/2014/main" id="{A2F093EF-72D4-4AA3-8C61-0FE527422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44D8D65" w14:textId="77777777" w:rsidR="00CE4D77" w:rsidRDefault="00544602" w:rsidP="00544602">
      <w:pPr>
        <w:pStyle w:val="FigureSource"/>
      </w:pPr>
      <w:r w:rsidRPr="00544602">
        <w:t>Source: SAMHSA, Center for Behavioral Health Statistics and Quality, National Survey on Drug Use and Health, 2013, 2014, 2015, 2016</w:t>
      </w:r>
      <w:r w:rsidR="00B840C2">
        <w:t>, 2017,</w:t>
      </w:r>
      <w:r w:rsidR="00610DF9">
        <w:t xml:space="preserve"> 2018,</w:t>
      </w:r>
      <w:r w:rsidR="00B840C2">
        <w:t xml:space="preserve"> and 201</w:t>
      </w:r>
      <w:r w:rsidR="00610DF9">
        <w:t>9</w:t>
      </w:r>
      <w:r w:rsidRPr="00544602">
        <w:t>.</w:t>
      </w:r>
    </w:p>
    <w:p w14:paraId="6E363108" w14:textId="77777777" w:rsidR="00610DF9" w:rsidRDefault="00610DF9" w:rsidP="008F3C56">
      <w:pPr>
        <w:pStyle w:val="ExhibitTitle"/>
      </w:pPr>
      <w:bookmarkStart w:id="88" w:name="_Toc52547226"/>
      <w:bookmarkStart w:id="89" w:name="_Toc64988308"/>
      <w:r>
        <w:t xml:space="preserve">Exhibit </w:t>
      </w:r>
      <w:r w:rsidR="00937D69">
        <w:t>3</w:t>
      </w:r>
      <w:r w:rsidR="003F092C">
        <w:t>8</w:t>
      </w:r>
      <w:r>
        <w:t>. Percentage of</w:t>
      </w:r>
      <w:r w:rsidRPr="00CE4D77">
        <w:t xml:space="preserve"> </w:t>
      </w:r>
      <w:r>
        <w:t>youth</w:t>
      </w:r>
      <w:r w:rsidRPr="00CE4D77">
        <w:t xml:space="preserve"> age</w:t>
      </w:r>
      <w:r w:rsidR="002F0B1D">
        <w:t>s</w:t>
      </w:r>
      <w:r w:rsidRPr="00CE4D77">
        <w:t xml:space="preserve"> 12 to 20</w:t>
      </w:r>
      <w:r>
        <w:t xml:space="preserve"> reporting binge alcohol use in the past month</w:t>
      </w:r>
      <w:bookmarkEnd w:id="89"/>
    </w:p>
    <w:p w14:paraId="3003FBD7" w14:textId="77777777" w:rsidR="00610DF9" w:rsidRPr="00610DF9" w:rsidRDefault="00610DF9" w:rsidP="00E43419">
      <w:pPr>
        <w:spacing w:after="0"/>
        <w:rPr>
          <w:lang w:eastAsia="ja-JP"/>
        </w:rPr>
      </w:pPr>
      <w:r>
        <w:rPr>
          <w:noProof/>
        </w:rPr>
        <w:drawing>
          <wp:inline distT="0" distB="0" distL="0" distR="0" wp14:anchorId="0E54D73D" wp14:editId="7D3731A9">
            <wp:extent cx="5550408" cy="1737360"/>
            <wp:effectExtent l="0" t="0" r="12700" b="15240"/>
            <wp:docPr id="44" name="Chart 44">
              <a:extLst xmlns:a="http://schemas.openxmlformats.org/drawingml/2006/main">
                <a:ext uri="{FF2B5EF4-FFF2-40B4-BE49-F238E27FC236}">
                  <a16:creationId xmlns:a16="http://schemas.microsoft.com/office/drawing/2014/main" id="{C7DC7361-B832-4933-BEEF-4B4E641942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3E12B5E" w14:textId="77777777" w:rsidR="00610DF9" w:rsidRPr="00610DF9" w:rsidRDefault="00610DF9" w:rsidP="00610DF9">
      <w:pPr>
        <w:pStyle w:val="FigureSource"/>
      </w:pPr>
      <w:r w:rsidRPr="00544602">
        <w:t>Source: SAMHSA, Center for Behavioral Health Statistics and Quality, National Survey on Drug Use and Health</w:t>
      </w:r>
      <w:r w:rsidR="00F55DCE">
        <w:t xml:space="preserve">, </w:t>
      </w:r>
      <w:r w:rsidRPr="00544602">
        <w:t>2015, 2016</w:t>
      </w:r>
      <w:r>
        <w:t>, 2017, 2018, and 2019</w:t>
      </w:r>
      <w:r w:rsidRPr="00544602">
        <w:t>.</w:t>
      </w:r>
    </w:p>
    <w:p w14:paraId="10497AD6" w14:textId="77777777" w:rsidR="00121804" w:rsidRDefault="00121804" w:rsidP="008F3C56">
      <w:pPr>
        <w:pStyle w:val="ExhibitTitle"/>
      </w:pPr>
      <w:bookmarkStart w:id="90" w:name="_Toc64988309"/>
      <w:r>
        <w:t xml:space="preserve">Exhibit </w:t>
      </w:r>
      <w:r w:rsidR="00937D69">
        <w:t>3</w:t>
      </w:r>
      <w:r w:rsidR="003F092C">
        <w:t>9</w:t>
      </w:r>
      <w:r>
        <w:t xml:space="preserve">. </w:t>
      </w:r>
      <w:r w:rsidRPr="00EE66BF">
        <w:t xml:space="preserve">Percentage of students </w:t>
      </w:r>
      <w:r w:rsidR="00FC2EB5">
        <w:t xml:space="preserve">in New Hampshire </w:t>
      </w:r>
      <w:r w:rsidRPr="00EE66BF">
        <w:t xml:space="preserve">who had at least one drink of alcohol during the </w:t>
      </w:r>
      <w:r>
        <w:t>past</w:t>
      </w:r>
      <w:r w:rsidRPr="00EE66BF">
        <w:t xml:space="preserve"> 30 days</w:t>
      </w:r>
      <w:r>
        <w:t>: Gender</w:t>
      </w:r>
      <w:bookmarkEnd w:id="88"/>
      <w:bookmarkEnd w:id="90"/>
    </w:p>
    <w:p w14:paraId="6DFA145E" w14:textId="77777777" w:rsidR="00121804" w:rsidRPr="009F2B24" w:rsidRDefault="00121804" w:rsidP="00E43419">
      <w:pPr>
        <w:spacing w:after="0"/>
        <w:rPr>
          <w:lang w:eastAsia="ja-JP"/>
        </w:rPr>
      </w:pPr>
      <w:r>
        <w:rPr>
          <w:noProof/>
        </w:rPr>
        <w:drawing>
          <wp:inline distT="0" distB="0" distL="0" distR="0" wp14:anchorId="7A9B7CCD" wp14:editId="071E2B58">
            <wp:extent cx="4114800" cy="1737360"/>
            <wp:effectExtent l="0" t="0" r="0" b="15240"/>
            <wp:docPr id="9" name="Chart 9">
              <a:extLst xmlns:a="http://schemas.openxmlformats.org/drawingml/2006/main">
                <a:ext uri="{FF2B5EF4-FFF2-40B4-BE49-F238E27FC236}">
                  <a16:creationId xmlns:a16="http://schemas.microsoft.com/office/drawing/2014/main" id="{6469076A-5ED9-457E-ABF5-2422D41BEE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DEC55EE" w14:textId="77777777" w:rsidR="00121804" w:rsidRDefault="00121804" w:rsidP="00121804">
      <w:pPr>
        <w:pStyle w:val="FigureSource"/>
      </w:pPr>
      <w:r>
        <w:t xml:space="preserve">Source: </w:t>
      </w:r>
      <w:r w:rsidRPr="00040FD8">
        <w:t>New Hampshire Youth Risk Behavior Survey, 2015</w:t>
      </w:r>
      <w:r>
        <w:t xml:space="preserve">, </w:t>
      </w:r>
      <w:r w:rsidRPr="00040FD8">
        <w:t>2017</w:t>
      </w:r>
      <w:r>
        <w:t>, and 2019</w:t>
      </w:r>
    </w:p>
    <w:p w14:paraId="5EA967FF" w14:textId="77777777" w:rsidR="00121804" w:rsidRDefault="00121804" w:rsidP="008F3C56">
      <w:pPr>
        <w:pStyle w:val="ExhibitTitle"/>
      </w:pPr>
      <w:bookmarkStart w:id="91" w:name="_Toc52547227"/>
      <w:bookmarkStart w:id="92" w:name="_Toc64988310"/>
      <w:r>
        <w:lastRenderedPageBreak/>
        <w:t xml:space="preserve">Exhibit </w:t>
      </w:r>
      <w:r w:rsidR="003F092C">
        <w:t>40</w:t>
      </w:r>
      <w:r>
        <w:t xml:space="preserve">. </w:t>
      </w:r>
      <w:r w:rsidRPr="00EE66BF">
        <w:t xml:space="preserve">Percentage of students </w:t>
      </w:r>
      <w:r w:rsidR="00FC2EB5">
        <w:t xml:space="preserve">in New Hampshire </w:t>
      </w:r>
      <w:r w:rsidRPr="00EE66BF">
        <w:t xml:space="preserve">who had at least one drink of alcohol during the </w:t>
      </w:r>
      <w:r>
        <w:t>past</w:t>
      </w:r>
      <w:r w:rsidRPr="00EE66BF">
        <w:t xml:space="preserve"> 30 days</w:t>
      </w:r>
      <w:r>
        <w:t>: Age</w:t>
      </w:r>
      <w:bookmarkEnd w:id="91"/>
      <w:bookmarkEnd w:id="92"/>
    </w:p>
    <w:p w14:paraId="240787FE" w14:textId="77777777" w:rsidR="00121804" w:rsidRPr="009F2B24" w:rsidRDefault="00121804" w:rsidP="00E43419">
      <w:pPr>
        <w:spacing w:after="0"/>
        <w:rPr>
          <w:lang w:eastAsia="ja-JP"/>
        </w:rPr>
      </w:pPr>
      <w:r>
        <w:rPr>
          <w:noProof/>
        </w:rPr>
        <w:drawing>
          <wp:inline distT="0" distB="0" distL="0" distR="0" wp14:anchorId="074711A3" wp14:editId="1D7F1934">
            <wp:extent cx="5181600" cy="1737360"/>
            <wp:effectExtent l="0" t="0" r="0" b="15240"/>
            <wp:docPr id="15" name="Chart 15">
              <a:extLst xmlns:a="http://schemas.openxmlformats.org/drawingml/2006/main">
                <a:ext uri="{FF2B5EF4-FFF2-40B4-BE49-F238E27FC236}">
                  <a16:creationId xmlns:a16="http://schemas.microsoft.com/office/drawing/2014/main" id="{D78B8EA0-1232-4625-8938-D53C39EB2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FF8D365" w14:textId="77777777" w:rsidR="00121804" w:rsidRDefault="00121804" w:rsidP="00121804">
      <w:pPr>
        <w:pStyle w:val="FigureSource"/>
      </w:pPr>
      <w:r>
        <w:t xml:space="preserve">Source: </w:t>
      </w:r>
      <w:r w:rsidRPr="00040FD8">
        <w:t>New Hampshire Youth Risk Behavior Survey, 2015</w:t>
      </w:r>
      <w:r>
        <w:t xml:space="preserve">, </w:t>
      </w:r>
      <w:r w:rsidRPr="00040FD8">
        <w:t>2017</w:t>
      </w:r>
      <w:r>
        <w:t>, and 2019</w:t>
      </w:r>
    </w:p>
    <w:p w14:paraId="17D2A568" w14:textId="77777777" w:rsidR="00121804" w:rsidRDefault="00121804" w:rsidP="008F3C56">
      <w:pPr>
        <w:pStyle w:val="ExhibitTitle"/>
      </w:pPr>
      <w:bookmarkStart w:id="93" w:name="_Toc52547228"/>
      <w:bookmarkStart w:id="94" w:name="_Toc64988311"/>
      <w:r>
        <w:t xml:space="preserve">Exhibit </w:t>
      </w:r>
      <w:r w:rsidR="003F092C">
        <w:t>41</w:t>
      </w:r>
      <w:r>
        <w:t xml:space="preserve">. </w:t>
      </w:r>
      <w:r w:rsidRPr="00EE66BF">
        <w:t xml:space="preserve">Percentage of students </w:t>
      </w:r>
      <w:r w:rsidR="00FC2EB5">
        <w:t xml:space="preserve">in New Hampshire </w:t>
      </w:r>
      <w:r w:rsidRPr="00EE66BF">
        <w:t xml:space="preserve">who had at least one drink of alcohol during the </w:t>
      </w:r>
      <w:r>
        <w:t>past</w:t>
      </w:r>
      <w:r w:rsidRPr="00EE66BF">
        <w:t xml:space="preserve"> 30 days</w:t>
      </w:r>
      <w:r>
        <w:t>: Race/Ethnicity</w:t>
      </w:r>
      <w:bookmarkEnd w:id="93"/>
      <w:bookmarkEnd w:id="94"/>
    </w:p>
    <w:p w14:paraId="072046D9" w14:textId="77777777" w:rsidR="00121804" w:rsidRPr="009F2B24" w:rsidRDefault="00121804" w:rsidP="00E43419">
      <w:pPr>
        <w:spacing w:after="0"/>
        <w:rPr>
          <w:lang w:eastAsia="ja-JP"/>
        </w:rPr>
      </w:pPr>
      <w:r>
        <w:rPr>
          <w:noProof/>
        </w:rPr>
        <w:drawing>
          <wp:inline distT="0" distB="0" distL="0" distR="0" wp14:anchorId="57757434" wp14:editId="659EE085">
            <wp:extent cx="6185140" cy="1737360"/>
            <wp:effectExtent l="0" t="0" r="6350" b="15240"/>
            <wp:docPr id="16" name="Chart 16">
              <a:extLst xmlns:a="http://schemas.openxmlformats.org/drawingml/2006/main">
                <a:ext uri="{FF2B5EF4-FFF2-40B4-BE49-F238E27FC236}">
                  <a16:creationId xmlns:a16="http://schemas.microsoft.com/office/drawing/2014/main" id="{BB3E864F-496D-4713-9E12-0781BE49BA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C4AB1EB" w14:textId="77777777" w:rsidR="00121804" w:rsidRPr="00DB5897" w:rsidRDefault="00121804" w:rsidP="00121804">
      <w:pPr>
        <w:pStyle w:val="FigureSource"/>
      </w:pPr>
      <w:r>
        <w:t xml:space="preserve">Source: </w:t>
      </w:r>
      <w:r w:rsidRPr="00040FD8">
        <w:t>New Hampshire Youth Risk Behavior Survey, 2015</w:t>
      </w:r>
      <w:r>
        <w:t xml:space="preserve">, </w:t>
      </w:r>
      <w:r w:rsidRPr="00040FD8">
        <w:t>2017</w:t>
      </w:r>
      <w:r>
        <w:t>, and 2019</w:t>
      </w:r>
    </w:p>
    <w:p w14:paraId="58988253" w14:textId="77777777" w:rsidR="00B840C2" w:rsidRDefault="00B840C2" w:rsidP="008F3C56">
      <w:pPr>
        <w:pStyle w:val="ExhibitTitle"/>
      </w:pPr>
      <w:bookmarkStart w:id="95" w:name="_Toc64988312"/>
      <w:r>
        <w:t xml:space="preserve">Exhibit </w:t>
      </w:r>
      <w:r w:rsidR="00CF1AAB">
        <w:t>4</w:t>
      </w:r>
      <w:r w:rsidR="003F092C">
        <w:t>2</w:t>
      </w:r>
      <w:r>
        <w:t>. Percentage reporting marijuana use in the past month among youth age</w:t>
      </w:r>
      <w:r w:rsidR="0016227A">
        <w:t>s</w:t>
      </w:r>
      <w:r>
        <w:t xml:space="preserve"> 12-17</w:t>
      </w:r>
      <w:bookmarkEnd w:id="95"/>
    </w:p>
    <w:p w14:paraId="6DCC9107" w14:textId="77777777" w:rsidR="00422EA6" w:rsidRDefault="00422EA6" w:rsidP="00E43419">
      <w:pPr>
        <w:spacing w:after="0"/>
      </w:pPr>
      <w:r w:rsidRPr="00E43419">
        <w:rPr>
          <w:noProof/>
          <w:sz w:val="20"/>
          <w:szCs w:val="20"/>
        </w:rPr>
        <w:drawing>
          <wp:inline distT="0" distB="0" distL="0" distR="0" wp14:anchorId="73BC32FC" wp14:editId="32224451">
            <wp:extent cx="5550408" cy="1737360"/>
            <wp:effectExtent l="0" t="0" r="12700" b="15240"/>
            <wp:docPr id="48" name="Chart 48">
              <a:extLst xmlns:a="http://schemas.openxmlformats.org/drawingml/2006/main">
                <a:ext uri="{FF2B5EF4-FFF2-40B4-BE49-F238E27FC236}">
                  <a16:creationId xmlns:a16="http://schemas.microsoft.com/office/drawing/2014/main" id="{7134A66C-8272-4A2B-BAAD-0524FBD20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BE4A271" w14:textId="77777777" w:rsidR="00B840C2" w:rsidRDefault="00B840C2" w:rsidP="00B840C2">
      <w:pPr>
        <w:pStyle w:val="FigureSource"/>
      </w:pPr>
      <w:r w:rsidRPr="00544602">
        <w:t>Source: SAMHSA, Center for Behavioral Health Statistics and Quality, National Survey on Drug Use and Health, 2013, 2014, 2015, 2016</w:t>
      </w:r>
      <w:r>
        <w:t xml:space="preserve">, 2017, </w:t>
      </w:r>
      <w:r w:rsidR="00422EA6">
        <w:t xml:space="preserve">2018, </w:t>
      </w:r>
      <w:r>
        <w:t>and 201</w:t>
      </w:r>
      <w:r w:rsidR="00422EA6">
        <w:t>9</w:t>
      </w:r>
      <w:r w:rsidRPr="00544602">
        <w:t>.</w:t>
      </w:r>
    </w:p>
    <w:p w14:paraId="6D38AE47" w14:textId="77777777" w:rsidR="00B840C2" w:rsidRDefault="00DE0440" w:rsidP="00E43419">
      <w:pPr>
        <w:pStyle w:val="ExhibitTitle"/>
        <w:ind w:right="-360"/>
      </w:pPr>
      <w:bookmarkStart w:id="96" w:name="_Toc64988313"/>
      <w:r>
        <w:lastRenderedPageBreak/>
        <w:t xml:space="preserve">Exhibit </w:t>
      </w:r>
      <w:r w:rsidR="00937D69">
        <w:t>4</w:t>
      </w:r>
      <w:r w:rsidR="003F092C">
        <w:t>3</w:t>
      </w:r>
      <w:r w:rsidR="00544602">
        <w:t>. Percentage reporting marijuana use in past month among individuals age</w:t>
      </w:r>
      <w:r w:rsidR="0016227A">
        <w:t>s</w:t>
      </w:r>
      <w:r w:rsidR="00544602">
        <w:t xml:space="preserve"> 18-25</w:t>
      </w:r>
      <w:bookmarkEnd w:id="96"/>
    </w:p>
    <w:p w14:paraId="3282C2D8" w14:textId="77777777" w:rsidR="00422EA6" w:rsidRDefault="00422EA6" w:rsidP="00E43419">
      <w:pPr>
        <w:spacing w:after="0"/>
      </w:pPr>
      <w:r>
        <w:rPr>
          <w:noProof/>
        </w:rPr>
        <w:drawing>
          <wp:inline distT="0" distB="0" distL="0" distR="0" wp14:anchorId="22CF555C" wp14:editId="67A3A367">
            <wp:extent cx="5550408" cy="1737360"/>
            <wp:effectExtent l="0" t="0" r="12700" b="15240"/>
            <wp:docPr id="49" name="Chart 49">
              <a:extLst xmlns:a="http://schemas.openxmlformats.org/drawingml/2006/main">
                <a:ext uri="{FF2B5EF4-FFF2-40B4-BE49-F238E27FC236}">
                  <a16:creationId xmlns:a16="http://schemas.microsoft.com/office/drawing/2014/main" id="{D0AB17A7-5C54-42C8-B269-E4C9A722A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D79A56B" w14:textId="77777777" w:rsidR="00DE0440" w:rsidRPr="00146C3D" w:rsidRDefault="00544602" w:rsidP="00146C3D">
      <w:pPr>
        <w:pStyle w:val="FigureSource"/>
      </w:pPr>
      <w:r w:rsidRPr="00544602">
        <w:t>Source: SAMHSA, Center for Behavioral Health Statistics and Quality, National Survey on Drug Use and Health, 2013, 2014, 2015, 2016</w:t>
      </w:r>
      <w:r w:rsidR="00B840C2">
        <w:t xml:space="preserve">, 2017, </w:t>
      </w:r>
      <w:r w:rsidR="00422EA6">
        <w:t xml:space="preserve">2018, </w:t>
      </w:r>
      <w:r w:rsidR="00B840C2">
        <w:t>and 201</w:t>
      </w:r>
      <w:r w:rsidR="00422EA6">
        <w:t>9</w:t>
      </w:r>
      <w:r w:rsidRPr="00544602">
        <w:t>.</w:t>
      </w:r>
    </w:p>
    <w:p w14:paraId="1ECBE89E" w14:textId="77777777" w:rsidR="00121804" w:rsidRDefault="00121804" w:rsidP="008F3C56">
      <w:pPr>
        <w:pStyle w:val="ExhibitTitle"/>
      </w:pPr>
      <w:bookmarkStart w:id="97" w:name="_Toc52547229"/>
      <w:bookmarkStart w:id="98" w:name="_Toc64988314"/>
      <w:r>
        <w:t xml:space="preserve">Exhibit </w:t>
      </w:r>
      <w:r w:rsidR="00937D69">
        <w:t>4</w:t>
      </w:r>
      <w:r w:rsidR="003F092C">
        <w:t>4</w:t>
      </w:r>
      <w:r>
        <w:t xml:space="preserve">. </w:t>
      </w:r>
      <w:r w:rsidRPr="00EE66BF">
        <w:t xml:space="preserve">Percentage of students </w:t>
      </w:r>
      <w:r w:rsidR="00FC2EB5">
        <w:t xml:space="preserve">in New Hampshire </w:t>
      </w:r>
      <w:r w:rsidRPr="00EE66BF">
        <w:t xml:space="preserve">who used marijuana at least once during the </w:t>
      </w:r>
      <w:r>
        <w:t>past</w:t>
      </w:r>
      <w:r w:rsidRPr="00EE66BF">
        <w:t xml:space="preserve"> 30 days</w:t>
      </w:r>
      <w:r>
        <w:t>: Gender</w:t>
      </w:r>
      <w:bookmarkEnd w:id="97"/>
      <w:bookmarkEnd w:id="98"/>
    </w:p>
    <w:p w14:paraId="0FA7BAB6" w14:textId="77777777" w:rsidR="00121804" w:rsidRPr="009F2B24" w:rsidRDefault="00121804" w:rsidP="00E43419">
      <w:pPr>
        <w:spacing w:after="0"/>
        <w:rPr>
          <w:lang w:eastAsia="ja-JP"/>
        </w:rPr>
      </w:pPr>
      <w:r>
        <w:rPr>
          <w:noProof/>
        </w:rPr>
        <w:drawing>
          <wp:inline distT="0" distB="0" distL="0" distR="0" wp14:anchorId="35A11CA1" wp14:editId="6AD17B61">
            <wp:extent cx="4114800" cy="1737360"/>
            <wp:effectExtent l="0" t="0" r="0" b="15240"/>
            <wp:docPr id="17" name="Chart 17">
              <a:extLst xmlns:a="http://schemas.openxmlformats.org/drawingml/2006/main">
                <a:ext uri="{FF2B5EF4-FFF2-40B4-BE49-F238E27FC236}">
                  <a16:creationId xmlns:a16="http://schemas.microsoft.com/office/drawing/2014/main" id="{6817E386-78AA-4056-8AD4-6174A08ED4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0B28C45" w14:textId="77777777" w:rsidR="00121804" w:rsidRDefault="00121804" w:rsidP="00121804">
      <w:pPr>
        <w:pStyle w:val="FigureSource"/>
      </w:pPr>
      <w:r>
        <w:t xml:space="preserve">Source: </w:t>
      </w:r>
      <w:r w:rsidRPr="00040FD8">
        <w:t>New Hampshire Youth Risk Behavior Survey, 2015</w:t>
      </w:r>
      <w:r>
        <w:t xml:space="preserve">, </w:t>
      </w:r>
      <w:r w:rsidRPr="00040FD8">
        <w:t>2017</w:t>
      </w:r>
      <w:r>
        <w:t>, and 2019</w:t>
      </w:r>
    </w:p>
    <w:p w14:paraId="4CBBF6BA" w14:textId="77777777" w:rsidR="00121804" w:rsidRDefault="00121804" w:rsidP="008F3C56">
      <w:pPr>
        <w:pStyle w:val="ExhibitTitle"/>
      </w:pPr>
      <w:bookmarkStart w:id="99" w:name="_Toc52547230"/>
      <w:bookmarkStart w:id="100" w:name="_Toc64988315"/>
      <w:r>
        <w:t xml:space="preserve">Exhibit </w:t>
      </w:r>
      <w:r w:rsidR="00937D69">
        <w:t>4</w:t>
      </w:r>
      <w:r w:rsidR="003F092C">
        <w:t>5</w:t>
      </w:r>
      <w:r>
        <w:t xml:space="preserve">. </w:t>
      </w:r>
      <w:r w:rsidRPr="00EE66BF">
        <w:t xml:space="preserve">Percentage of students </w:t>
      </w:r>
      <w:r w:rsidR="00FC2EB5">
        <w:t xml:space="preserve">in New Hampshire </w:t>
      </w:r>
      <w:r w:rsidRPr="00EE66BF">
        <w:t xml:space="preserve">who used marijuana at least once during the </w:t>
      </w:r>
      <w:r>
        <w:t>past</w:t>
      </w:r>
      <w:r w:rsidRPr="00EE66BF">
        <w:t xml:space="preserve"> 30 days</w:t>
      </w:r>
      <w:r>
        <w:t>: Age</w:t>
      </w:r>
      <w:bookmarkEnd w:id="99"/>
      <w:bookmarkEnd w:id="100"/>
    </w:p>
    <w:p w14:paraId="61F5183B" w14:textId="77777777" w:rsidR="00121804" w:rsidRPr="009F2B24" w:rsidRDefault="00121804" w:rsidP="00E43419">
      <w:pPr>
        <w:spacing w:after="0"/>
        <w:rPr>
          <w:lang w:eastAsia="ja-JP"/>
        </w:rPr>
      </w:pPr>
      <w:r>
        <w:rPr>
          <w:noProof/>
        </w:rPr>
        <w:drawing>
          <wp:inline distT="0" distB="0" distL="0" distR="0" wp14:anchorId="661712F4" wp14:editId="67F53A1C">
            <wp:extent cx="5184648" cy="1737360"/>
            <wp:effectExtent l="0" t="0" r="16510" b="15240"/>
            <wp:docPr id="18" name="Chart 18">
              <a:extLst xmlns:a="http://schemas.openxmlformats.org/drawingml/2006/main">
                <a:ext uri="{FF2B5EF4-FFF2-40B4-BE49-F238E27FC236}">
                  <a16:creationId xmlns:a16="http://schemas.microsoft.com/office/drawing/2014/main" id="{25095476-6BA3-40AE-AB0C-7D36008FC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2AF8766" w14:textId="77777777" w:rsidR="00121804" w:rsidRPr="00DB5897" w:rsidRDefault="00121804" w:rsidP="00121804">
      <w:pPr>
        <w:pStyle w:val="FigureSource"/>
      </w:pPr>
      <w:r>
        <w:t xml:space="preserve">Source: </w:t>
      </w:r>
      <w:r w:rsidRPr="00040FD8">
        <w:t>New Hampshire Youth Risk Behavior Survey, 2015</w:t>
      </w:r>
      <w:r>
        <w:t xml:space="preserve">, </w:t>
      </w:r>
      <w:r w:rsidRPr="00040FD8">
        <w:t>2017</w:t>
      </w:r>
      <w:r>
        <w:t>, and 2019</w:t>
      </w:r>
    </w:p>
    <w:p w14:paraId="72EA001C" w14:textId="77777777" w:rsidR="00121804" w:rsidRDefault="00121804" w:rsidP="008F3C56">
      <w:pPr>
        <w:pStyle w:val="ExhibitTitle"/>
      </w:pPr>
      <w:bookmarkStart w:id="101" w:name="_Toc52547231"/>
      <w:bookmarkStart w:id="102" w:name="_Toc64988316"/>
      <w:r>
        <w:lastRenderedPageBreak/>
        <w:t xml:space="preserve">Exhibit </w:t>
      </w:r>
      <w:r w:rsidR="00937D69">
        <w:t>4</w:t>
      </w:r>
      <w:r w:rsidR="003F092C">
        <w:t>6</w:t>
      </w:r>
      <w:r>
        <w:t xml:space="preserve">. </w:t>
      </w:r>
      <w:r w:rsidRPr="00EE66BF">
        <w:t xml:space="preserve">Percentage of students </w:t>
      </w:r>
      <w:r w:rsidR="00FC2EB5">
        <w:t xml:space="preserve">in New Hampshire </w:t>
      </w:r>
      <w:r w:rsidRPr="00EE66BF">
        <w:t xml:space="preserve">who used marijuana at least once during the </w:t>
      </w:r>
      <w:r>
        <w:t>past</w:t>
      </w:r>
      <w:r w:rsidRPr="00EE66BF">
        <w:t xml:space="preserve"> 30 days</w:t>
      </w:r>
      <w:r>
        <w:t>: Race/Ethnicity</w:t>
      </w:r>
      <w:bookmarkEnd w:id="101"/>
      <w:bookmarkEnd w:id="102"/>
    </w:p>
    <w:p w14:paraId="16132AE2" w14:textId="77777777" w:rsidR="00121804" w:rsidRPr="009F2B24" w:rsidRDefault="00121804" w:rsidP="00E43419">
      <w:pPr>
        <w:spacing w:after="0"/>
        <w:rPr>
          <w:lang w:eastAsia="ja-JP"/>
        </w:rPr>
      </w:pPr>
      <w:r>
        <w:rPr>
          <w:noProof/>
        </w:rPr>
        <w:drawing>
          <wp:inline distT="0" distB="0" distL="0" distR="0" wp14:anchorId="71F37BC5" wp14:editId="1AFC98A5">
            <wp:extent cx="6181344" cy="1737360"/>
            <wp:effectExtent l="0" t="0" r="10160" b="15240"/>
            <wp:docPr id="19" name="Chart 19">
              <a:extLst xmlns:a="http://schemas.openxmlformats.org/drawingml/2006/main">
                <a:ext uri="{FF2B5EF4-FFF2-40B4-BE49-F238E27FC236}">
                  <a16:creationId xmlns:a16="http://schemas.microsoft.com/office/drawing/2014/main" id="{0A02CE4D-E2F3-431A-9FB2-10F52A7A12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860EB8D" w14:textId="77777777" w:rsidR="00121804" w:rsidRDefault="00121804" w:rsidP="00121804">
      <w:pPr>
        <w:pStyle w:val="FigureSource"/>
      </w:pPr>
      <w:r>
        <w:t xml:space="preserve">Source: </w:t>
      </w:r>
      <w:r w:rsidRPr="00040FD8">
        <w:t>New Hampshire Youth Risk Behavior Survey, 2015</w:t>
      </w:r>
      <w:r>
        <w:t xml:space="preserve">, </w:t>
      </w:r>
      <w:r w:rsidRPr="00040FD8">
        <w:t>2017</w:t>
      </w:r>
      <w:r>
        <w:t>, and 2019</w:t>
      </w:r>
    </w:p>
    <w:p w14:paraId="39397D0E" w14:textId="77777777" w:rsidR="00121804" w:rsidRDefault="00121804" w:rsidP="008F3C56">
      <w:pPr>
        <w:pStyle w:val="ExhibitTitle"/>
      </w:pPr>
      <w:bookmarkStart w:id="103" w:name="_Toc52547232"/>
      <w:bookmarkStart w:id="104" w:name="_Toc64988317"/>
      <w:r>
        <w:t xml:space="preserve">Exhibit </w:t>
      </w:r>
      <w:r w:rsidR="00B43872">
        <w:t>4</w:t>
      </w:r>
      <w:r w:rsidR="003F092C">
        <w:t>7</w:t>
      </w:r>
      <w:r>
        <w:t xml:space="preserve">. </w:t>
      </w:r>
      <w:r w:rsidRPr="00EE66BF">
        <w:t xml:space="preserve">Percentage of students </w:t>
      </w:r>
      <w:r w:rsidR="00FC2EB5">
        <w:t xml:space="preserve">in New Hampshire </w:t>
      </w:r>
      <w:r w:rsidRPr="00EE66BF">
        <w:t xml:space="preserve">who took a prescription drug without a doctor’s prescription at least once during the </w:t>
      </w:r>
      <w:r>
        <w:t>past</w:t>
      </w:r>
      <w:r w:rsidRPr="00EE66BF">
        <w:t xml:space="preserve"> 30 days</w:t>
      </w:r>
      <w:r>
        <w:t>: Gender</w:t>
      </w:r>
      <w:bookmarkEnd w:id="103"/>
      <w:bookmarkEnd w:id="104"/>
    </w:p>
    <w:p w14:paraId="6D7F4D3D" w14:textId="77777777" w:rsidR="00121804" w:rsidRPr="009F2B24" w:rsidRDefault="00121804" w:rsidP="00E43419">
      <w:pPr>
        <w:spacing w:after="0"/>
        <w:rPr>
          <w:lang w:eastAsia="ja-JP"/>
        </w:rPr>
      </w:pPr>
      <w:r>
        <w:rPr>
          <w:noProof/>
        </w:rPr>
        <w:drawing>
          <wp:inline distT="0" distB="0" distL="0" distR="0" wp14:anchorId="4912F2C7" wp14:editId="29548D64">
            <wp:extent cx="4114800" cy="1737360"/>
            <wp:effectExtent l="0" t="0" r="0" b="15240"/>
            <wp:docPr id="21" name="Chart 21">
              <a:extLst xmlns:a="http://schemas.openxmlformats.org/drawingml/2006/main">
                <a:ext uri="{FF2B5EF4-FFF2-40B4-BE49-F238E27FC236}">
                  <a16:creationId xmlns:a16="http://schemas.microsoft.com/office/drawing/2014/main" id="{8A021275-44DE-49A8-B6C1-C47BF036E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7C2FE1E" w14:textId="77777777" w:rsidR="00121804" w:rsidRPr="00DB5897" w:rsidRDefault="00121804" w:rsidP="00121804">
      <w:pPr>
        <w:pStyle w:val="FigureSource"/>
      </w:pPr>
      <w:r>
        <w:t xml:space="preserve">Source: </w:t>
      </w:r>
      <w:r w:rsidRPr="00040FD8">
        <w:t>New Hampshire Youth Risk Behavior Survey, 2015</w:t>
      </w:r>
      <w:r>
        <w:t xml:space="preserve">, </w:t>
      </w:r>
      <w:r w:rsidRPr="00040FD8">
        <w:t>2017</w:t>
      </w:r>
      <w:r>
        <w:t>, and 2019</w:t>
      </w:r>
    </w:p>
    <w:p w14:paraId="1E9BA08A" w14:textId="77777777" w:rsidR="00121804" w:rsidRDefault="00121804" w:rsidP="008F3C56">
      <w:pPr>
        <w:pStyle w:val="ExhibitTitle"/>
      </w:pPr>
      <w:bookmarkStart w:id="105" w:name="_Toc52547233"/>
      <w:bookmarkStart w:id="106" w:name="_Toc64988318"/>
      <w:r>
        <w:t xml:space="preserve">Exhibit </w:t>
      </w:r>
      <w:r w:rsidR="00937D69">
        <w:t>4</w:t>
      </w:r>
      <w:r w:rsidR="003F092C">
        <w:t>8</w:t>
      </w:r>
      <w:r>
        <w:t xml:space="preserve">. </w:t>
      </w:r>
      <w:r w:rsidRPr="00EE66BF">
        <w:t xml:space="preserve">Percentage of students </w:t>
      </w:r>
      <w:r w:rsidR="00FC2EB5">
        <w:t xml:space="preserve">in New Hampshire </w:t>
      </w:r>
      <w:r w:rsidRPr="00EE66BF">
        <w:t xml:space="preserve">who took a prescription drug without a doctor’s prescription at least once during the </w:t>
      </w:r>
      <w:r>
        <w:t>past</w:t>
      </w:r>
      <w:r w:rsidRPr="00EE66BF">
        <w:t xml:space="preserve"> 30 days</w:t>
      </w:r>
      <w:r>
        <w:t>: Age</w:t>
      </w:r>
      <w:bookmarkEnd w:id="105"/>
      <w:bookmarkEnd w:id="106"/>
    </w:p>
    <w:p w14:paraId="536A873A" w14:textId="77777777" w:rsidR="00121804" w:rsidRPr="009F2B24" w:rsidRDefault="00121804" w:rsidP="00E43419">
      <w:pPr>
        <w:spacing w:after="0"/>
        <w:rPr>
          <w:lang w:eastAsia="ja-JP"/>
        </w:rPr>
      </w:pPr>
      <w:r>
        <w:rPr>
          <w:noProof/>
        </w:rPr>
        <w:drawing>
          <wp:inline distT="0" distB="0" distL="0" distR="0" wp14:anchorId="3A1A42B9" wp14:editId="2C6F294F">
            <wp:extent cx="5184648" cy="1737360"/>
            <wp:effectExtent l="0" t="0" r="16510" b="15240"/>
            <wp:docPr id="22" name="Chart 22">
              <a:extLst xmlns:a="http://schemas.openxmlformats.org/drawingml/2006/main">
                <a:ext uri="{FF2B5EF4-FFF2-40B4-BE49-F238E27FC236}">
                  <a16:creationId xmlns:a16="http://schemas.microsoft.com/office/drawing/2014/main" id="{01D19BA3-2B16-459F-AB2C-6D1F2B58F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8D2A5A5" w14:textId="77777777" w:rsidR="00121804" w:rsidRDefault="00121804" w:rsidP="00121804">
      <w:pPr>
        <w:pStyle w:val="FigureSource"/>
      </w:pPr>
      <w:r>
        <w:t xml:space="preserve">Source: </w:t>
      </w:r>
      <w:r w:rsidRPr="00040FD8">
        <w:t>New Hampshire Youth Risk Behavior Survey, 2015</w:t>
      </w:r>
      <w:r>
        <w:t xml:space="preserve">, </w:t>
      </w:r>
      <w:r w:rsidRPr="00040FD8">
        <w:t>2017</w:t>
      </w:r>
      <w:r>
        <w:t>, and 2019</w:t>
      </w:r>
    </w:p>
    <w:p w14:paraId="04298229" w14:textId="77777777" w:rsidR="00121804" w:rsidRDefault="00121804" w:rsidP="008F3C56">
      <w:pPr>
        <w:pStyle w:val="ExhibitTitle"/>
      </w:pPr>
      <w:bookmarkStart w:id="107" w:name="_Toc52547234"/>
      <w:bookmarkStart w:id="108" w:name="_Toc64988319"/>
      <w:r>
        <w:lastRenderedPageBreak/>
        <w:t xml:space="preserve">Exhibit </w:t>
      </w:r>
      <w:r w:rsidR="00937D69">
        <w:t>4</w:t>
      </w:r>
      <w:r w:rsidR="003F092C">
        <w:t>9</w:t>
      </w:r>
      <w:r>
        <w:t xml:space="preserve">. </w:t>
      </w:r>
      <w:r w:rsidRPr="00EE66BF">
        <w:t xml:space="preserve">Percentage of students </w:t>
      </w:r>
      <w:r w:rsidR="00FC2EB5">
        <w:t xml:space="preserve">in New Hampshire </w:t>
      </w:r>
      <w:r w:rsidRPr="00EE66BF">
        <w:t xml:space="preserve">who took a prescription drug without a doctor’s prescription at least once during the </w:t>
      </w:r>
      <w:r>
        <w:t>past</w:t>
      </w:r>
      <w:r w:rsidRPr="00EE66BF">
        <w:t xml:space="preserve"> 30 days</w:t>
      </w:r>
      <w:r>
        <w:t>: Race/Ethnicity</w:t>
      </w:r>
      <w:bookmarkEnd w:id="107"/>
      <w:bookmarkEnd w:id="108"/>
    </w:p>
    <w:p w14:paraId="477322DB" w14:textId="77777777" w:rsidR="00121804" w:rsidRPr="009F2B24" w:rsidRDefault="00121804" w:rsidP="00E43419">
      <w:pPr>
        <w:spacing w:after="0"/>
        <w:rPr>
          <w:lang w:eastAsia="ja-JP"/>
        </w:rPr>
      </w:pPr>
      <w:r>
        <w:rPr>
          <w:noProof/>
        </w:rPr>
        <w:drawing>
          <wp:inline distT="0" distB="0" distL="0" distR="0" wp14:anchorId="3B947273" wp14:editId="19C8130C">
            <wp:extent cx="6126480" cy="1737360"/>
            <wp:effectExtent l="0" t="0" r="7620" b="15240"/>
            <wp:docPr id="23" name="Chart 23">
              <a:extLst xmlns:a="http://schemas.openxmlformats.org/drawingml/2006/main">
                <a:ext uri="{FF2B5EF4-FFF2-40B4-BE49-F238E27FC236}">
                  <a16:creationId xmlns:a16="http://schemas.microsoft.com/office/drawing/2014/main" id="{31677205-5714-4304-8E75-475870ECF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70CFBBC" w14:textId="77777777" w:rsidR="00121804" w:rsidRPr="00DB5897" w:rsidRDefault="00121804" w:rsidP="00121804">
      <w:pPr>
        <w:pStyle w:val="FigureSource"/>
      </w:pPr>
      <w:r>
        <w:t xml:space="preserve">Source: </w:t>
      </w:r>
      <w:r w:rsidRPr="00040FD8">
        <w:t>New Hampshire Youth Risk Behavior Survey, 2015</w:t>
      </w:r>
      <w:r>
        <w:t xml:space="preserve">, </w:t>
      </w:r>
      <w:r w:rsidRPr="00040FD8">
        <w:t>2017</w:t>
      </w:r>
      <w:r>
        <w:t>, and 2019</w:t>
      </w:r>
    </w:p>
    <w:p w14:paraId="38221C69" w14:textId="77777777" w:rsidR="0066048D" w:rsidRPr="0066048D" w:rsidRDefault="0066048D" w:rsidP="00E43419">
      <w:pPr>
        <w:pStyle w:val="Heading3"/>
        <w:spacing w:before="480"/>
        <w:rPr>
          <w:rFonts w:eastAsia="Calibri"/>
        </w:rPr>
      </w:pPr>
      <w:bookmarkStart w:id="109" w:name="_Toc64988265"/>
      <w:r w:rsidRPr="0066048D">
        <w:rPr>
          <w:rFonts w:eastAsia="Calibri"/>
        </w:rPr>
        <w:t>Mental Health</w:t>
      </w:r>
      <w:bookmarkEnd w:id="109"/>
    </w:p>
    <w:p w14:paraId="0FA8BC11" w14:textId="77777777" w:rsidR="0066048D" w:rsidRDefault="00DE0440" w:rsidP="008F3C56">
      <w:pPr>
        <w:pStyle w:val="ExhibitTitle"/>
      </w:pPr>
      <w:bookmarkStart w:id="110" w:name="_Toc64988320"/>
      <w:r>
        <w:t xml:space="preserve">Exhibit </w:t>
      </w:r>
      <w:r w:rsidR="003F092C">
        <w:t>50</w:t>
      </w:r>
      <w:r w:rsidR="00544602">
        <w:t>. Percentage reporting mental illness in past year among individuals age</w:t>
      </w:r>
      <w:r w:rsidR="0016227A">
        <w:t>s</w:t>
      </w:r>
      <w:r w:rsidR="00544602">
        <w:t xml:space="preserve"> 18-25</w:t>
      </w:r>
      <w:bookmarkEnd w:id="110"/>
    </w:p>
    <w:p w14:paraId="57439C6F" w14:textId="77777777" w:rsidR="00F55DCE" w:rsidRDefault="00F55DCE" w:rsidP="00E43419">
      <w:pPr>
        <w:spacing w:after="0"/>
      </w:pPr>
      <w:r>
        <w:rPr>
          <w:noProof/>
        </w:rPr>
        <w:drawing>
          <wp:inline distT="0" distB="0" distL="0" distR="0" wp14:anchorId="5888F1D9" wp14:editId="0BC0874E">
            <wp:extent cx="5550408" cy="1737360"/>
            <wp:effectExtent l="0" t="0" r="12700" b="15240"/>
            <wp:docPr id="50" name="Chart 50">
              <a:extLst xmlns:a="http://schemas.openxmlformats.org/drawingml/2006/main">
                <a:ext uri="{FF2B5EF4-FFF2-40B4-BE49-F238E27FC236}">
                  <a16:creationId xmlns:a16="http://schemas.microsoft.com/office/drawing/2014/main" id="{E31387CD-0C1A-4DD0-BD3F-1AA6D4B122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7D53A5F" w14:textId="76DF5A52" w:rsidR="00603EEB" w:rsidRDefault="00603EEB" w:rsidP="00603EEB">
      <w:pPr>
        <w:pStyle w:val="FigureSource"/>
      </w:pPr>
      <w:r w:rsidRPr="00544602">
        <w:t>Source: SAMHSA, Center for Behavioral Health Statistics and Quality, National Survey on Drug Use and Health, 2013, 2014, 2015, 2016</w:t>
      </w:r>
      <w:r w:rsidR="00B840C2">
        <w:t>, 2017</w:t>
      </w:r>
      <w:r w:rsidR="00E34A3A">
        <w:t>, 2018, and</w:t>
      </w:r>
      <w:r w:rsidR="00B840C2">
        <w:t xml:space="preserve"> 201</w:t>
      </w:r>
      <w:r w:rsidR="00F55DCE">
        <w:t>9</w:t>
      </w:r>
      <w:r w:rsidRPr="00544602">
        <w:t>.</w:t>
      </w:r>
    </w:p>
    <w:p w14:paraId="2A2D2581" w14:textId="77777777" w:rsidR="00B840C2" w:rsidRDefault="00DE0440" w:rsidP="008F3C56">
      <w:pPr>
        <w:pStyle w:val="ExhibitTitle"/>
      </w:pPr>
      <w:bookmarkStart w:id="111" w:name="_Toc64988321"/>
      <w:r>
        <w:t xml:space="preserve">Exhibit </w:t>
      </w:r>
      <w:r w:rsidR="003F092C">
        <w:t>51</w:t>
      </w:r>
      <w:r w:rsidR="0067231B">
        <w:t xml:space="preserve">. </w:t>
      </w:r>
      <w:r w:rsidR="00B840C2">
        <w:t>Percentage reporting major depressive episode in the past year among youth age</w:t>
      </w:r>
      <w:r w:rsidR="00965AAB">
        <w:t>s</w:t>
      </w:r>
      <w:r w:rsidR="00B840C2">
        <w:t xml:space="preserve"> 12-17</w:t>
      </w:r>
      <w:bookmarkEnd w:id="111"/>
    </w:p>
    <w:p w14:paraId="21049B49" w14:textId="77777777" w:rsidR="00F55DCE" w:rsidRDefault="00F55DCE" w:rsidP="00E43419">
      <w:pPr>
        <w:spacing w:after="0"/>
        <w:rPr>
          <w:lang w:eastAsia="ja-JP"/>
        </w:rPr>
      </w:pPr>
      <w:r>
        <w:rPr>
          <w:noProof/>
        </w:rPr>
        <w:drawing>
          <wp:inline distT="0" distB="0" distL="0" distR="0" wp14:anchorId="2391F0F3" wp14:editId="7413697D">
            <wp:extent cx="5550408" cy="1737360"/>
            <wp:effectExtent l="0" t="0" r="12700" b="15240"/>
            <wp:docPr id="51" name="Chart 51">
              <a:extLst xmlns:a="http://schemas.openxmlformats.org/drawingml/2006/main">
                <a:ext uri="{FF2B5EF4-FFF2-40B4-BE49-F238E27FC236}">
                  <a16:creationId xmlns:a16="http://schemas.microsoft.com/office/drawing/2014/main" id="{0551ADE8-A219-43EA-91B8-1EDCC9A9FD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8C5F5B1" w14:textId="77777777" w:rsidR="00B840C2" w:rsidRDefault="00B840C2" w:rsidP="00B840C2">
      <w:pPr>
        <w:pStyle w:val="FigureSource"/>
      </w:pPr>
      <w:r w:rsidRPr="00544602">
        <w:t>Source: SAMHSA, Center for Behavioral Health Statistics and Quality, National Survey on Drug Use and Health, 2013, 2014, 2015, 2016</w:t>
      </w:r>
      <w:r>
        <w:t xml:space="preserve">, 2017, </w:t>
      </w:r>
      <w:r w:rsidR="00F55DCE">
        <w:t xml:space="preserve">2018 </w:t>
      </w:r>
      <w:r>
        <w:t>and 201</w:t>
      </w:r>
      <w:r w:rsidR="00F55DCE">
        <w:t>9</w:t>
      </w:r>
      <w:r w:rsidRPr="00544602">
        <w:t>.</w:t>
      </w:r>
    </w:p>
    <w:p w14:paraId="6D6F6DA6" w14:textId="77777777" w:rsidR="00B840C2" w:rsidRDefault="00B840C2" w:rsidP="008F3C56">
      <w:pPr>
        <w:pStyle w:val="ExhibitTitle"/>
      </w:pPr>
      <w:bookmarkStart w:id="112" w:name="_Toc64988322"/>
      <w:r>
        <w:lastRenderedPageBreak/>
        <w:t xml:space="preserve">Exhibit </w:t>
      </w:r>
      <w:r w:rsidR="00CF1AAB">
        <w:t>5</w:t>
      </w:r>
      <w:r w:rsidR="003F092C">
        <w:t>2</w:t>
      </w:r>
      <w:r>
        <w:t xml:space="preserve">. Percentage reporting major depressive episode in the past year among </w:t>
      </w:r>
      <w:r w:rsidR="00386986">
        <w:t>individuals</w:t>
      </w:r>
      <w:r>
        <w:t xml:space="preserve"> age</w:t>
      </w:r>
      <w:r w:rsidR="00965AAB">
        <w:t>s</w:t>
      </w:r>
      <w:r>
        <w:t xml:space="preserve"> 18-25</w:t>
      </w:r>
      <w:bookmarkEnd w:id="112"/>
    </w:p>
    <w:p w14:paraId="66CE7E27" w14:textId="77777777" w:rsidR="00F55DCE" w:rsidRPr="00B840C2" w:rsidRDefault="00F55DCE" w:rsidP="00E43419">
      <w:pPr>
        <w:spacing w:after="0"/>
        <w:rPr>
          <w:lang w:eastAsia="ja-JP"/>
        </w:rPr>
      </w:pPr>
      <w:r>
        <w:rPr>
          <w:noProof/>
        </w:rPr>
        <w:drawing>
          <wp:inline distT="0" distB="0" distL="0" distR="0" wp14:anchorId="06DD3FB2" wp14:editId="27C2DC6B">
            <wp:extent cx="5550408" cy="1737360"/>
            <wp:effectExtent l="0" t="0" r="12700" b="15240"/>
            <wp:docPr id="52" name="Chart 52">
              <a:extLst xmlns:a="http://schemas.openxmlformats.org/drawingml/2006/main">
                <a:ext uri="{FF2B5EF4-FFF2-40B4-BE49-F238E27FC236}">
                  <a16:creationId xmlns:a16="http://schemas.microsoft.com/office/drawing/2014/main" id="{CBFA8804-3DE9-4494-84A9-61873F8D99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ACA79F5" w14:textId="77777777" w:rsidR="00B840C2" w:rsidRDefault="00B840C2" w:rsidP="00B840C2">
      <w:pPr>
        <w:pStyle w:val="FigureSource"/>
      </w:pPr>
      <w:r w:rsidRPr="00544602">
        <w:t>Source: SAMHSA, Center for Behavioral Health Statistics and Quality, National Survey on Drug Use and Health, 2013, 2014, 2015, 2016</w:t>
      </w:r>
      <w:r>
        <w:t xml:space="preserve">, 2017, </w:t>
      </w:r>
      <w:r w:rsidR="00F55DCE">
        <w:t xml:space="preserve">2018, </w:t>
      </w:r>
      <w:r>
        <w:t>and 201</w:t>
      </w:r>
      <w:r w:rsidR="00F55DCE">
        <w:t>9</w:t>
      </w:r>
      <w:r w:rsidRPr="00544602">
        <w:t>.</w:t>
      </w:r>
    </w:p>
    <w:p w14:paraId="64B57309" w14:textId="77777777" w:rsidR="00386986" w:rsidRDefault="00DE0440" w:rsidP="008F3C56">
      <w:pPr>
        <w:pStyle w:val="ExhibitTitle"/>
      </w:pPr>
      <w:bookmarkStart w:id="113" w:name="_Toc64988323"/>
      <w:r>
        <w:t xml:space="preserve">Exhibit </w:t>
      </w:r>
      <w:r w:rsidR="00937D69">
        <w:t>5</w:t>
      </w:r>
      <w:r w:rsidR="003F092C">
        <w:t>3</w:t>
      </w:r>
      <w:r w:rsidR="00603EEB">
        <w:t xml:space="preserve">. Percentage who had serious thoughts of suicide among </w:t>
      </w:r>
      <w:r w:rsidR="00386986">
        <w:t>individuals</w:t>
      </w:r>
      <w:r w:rsidR="00603EEB">
        <w:t xml:space="preserve"> age</w:t>
      </w:r>
      <w:r w:rsidR="0016227A">
        <w:t>s</w:t>
      </w:r>
      <w:r w:rsidR="00603EEB">
        <w:t xml:space="preserve"> 18-25</w:t>
      </w:r>
      <w:bookmarkEnd w:id="113"/>
    </w:p>
    <w:p w14:paraId="200B019B" w14:textId="77777777" w:rsidR="00F55DCE" w:rsidRDefault="00F55DCE" w:rsidP="00E43419">
      <w:pPr>
        <w:spacing w:after="0"/>
      </w:pPr>
      <w:r>
        <w:rPr>
          <w:noProof/>
        </w:rPr>
        <w:drawing>
          <wp:inline distT="0" distB="0" distL="0" distR="0" wp14:anchorId="0E26FEC0" wp14:editId="798EC005">
            <wp:extent cx="5550408" cy="1737360"/>
            <wp:effectExtent l="0" t="0" r="12700" b="15240"/>
            <wp:docPr id="53" name="Chart 53">
              <a:extLst xmlns:a="http://schemas.openxmlformats.org/drawingml/2006/main">
                <a:ext uri="{FF2B5EF4-FFF2-40B4-BE49-F238E27FC236}">
                  <a16:creationId xmlns:a16="http://schemas.microsoft.com/office/drawing/2014/main" id="{B73E5F68-5468-4403-B21B-EED9A245BC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14948E9" w14:textId="77777777" w:rsidR="00603EEB" w:rsidRDefault="00603EEB" w:rsidP="00603EEB">
      <w:pPr>
        <w:pStyle w:val="FigureSource"/>
      </w:pPr>
      <w:r w:rsidRPr="00544602">
        <w:t>Source: SAMHSA, Center for Behavioral Health Statistics and Quality, National Survey on Drug Use and Health, 2013, 2014, 2015, 2016</w:t>
      </w:r>
      <w:r w:rsidR="00B840C2">
        <w:t xml:space="preserve">, 2017, </w:t>
      </w:r>
      <w:r w:rsidR="00F55DCE">
        <w:t xml:space="preserve">2018, </w:t>
      </w:r>
      <w:r w:rsidR="00B840C2">
        <w:t>and 201</w:t>
      </w:r>
      <w:r w:rsidR="00F55DCE">
        <w:t>9</w:t>
      </w:r>
      <w:r w:rsidR="00B840C2" w:rsidRPr="00544602">
        <w:t>.</w:t>
      </w:r>
    </w:p>
    <w:p w14:paraId="537EF5EC" w14:textId="77777777" w:rsidR="00121804" w:rsidRDefault="00121804" w:rsidP="008F3C56">
      <w:pPr>
        <w:pStyle w:val="ExhibitTitle"/>
      </w:pPr>
      <w:bookmarkStart w:id="114" w:name="_Toc52547235"/>
      <w:bookmarkStart w:id="115" w:name="_Toc64988324"/>
      <w:r>
        <w:t xml:space="preserve">Exhibit </w:t>
      </w:r>
      <w:r w:rsidR="00937D69">
        <w:t>5</w:t>
      </w:r>
      <w:r w:rsidR="003F092C">
        <w:t>4</w:t>
      </w:r>
      <w:r>
        <w:t xml:space="preserve">. </w:t>
      </w:r>
      <w:r w:rsidRPr="00EE66BF">
        <w:t xml:space="preserve">Percentage of students </w:t>
      </w:r>
      <w:r w:rsidR="00FC2EB5">
        <w:t xml:space="preserve">in New Hampshire </w:t>
      </w:r>
      <w:r w:rsidRPr="00EE66BF">
        <w:t>who seriously considered attempting suicide during the past 12 months</w:t>
      </w:r>
      <w:r>
        <w:t>: Gender</w:t>
      </w:r>
      <w:bookmarkEnd w:id="114"/>
      <w:bookmarkEnd w:id="115"/>
    </w:p>
    <w:p w14:paraId="48AD526C" w14:textId="77777777" w:rsidR="00121804" w:rsidRPr="009F2B24" w:rsidRDefault="00121804" w:rsidP="00E43419">
      <w:pPr>
        <w:spacing w:after="0"/>
        <w:rPr>
          <w:lang w:eastAsia="ja-JP"/>
        </w:rPr>
      </w:pPr>
      <w:r>
        <w:rPr>
          <w:noProof/>
        </w:rPr>
        <w:drawing>
          <wp:inline distT="0" distB="0" distL="0" distR="0" wp14:anchorId="0C4DC292" wp14:editId="7200E9BF">
            <wp:extent cx="4114800" cy="1737360"/>
            <wp:effectExtent l="0" t="0" r="0" b="15240"/>
            <wp:docPr id="29" name="Chart 29">
              <a:extLst xmlns:a="http://schemas.openxmlformats.org/drawingml/2006/main">
                <a:ext uri="{FF2B5EF4-FFF2-40B4-BE49-F238E27FC236}">
                  <a16:creationId xmlns:a16="http://schemas.microsoft.com/office/drawing/2014/main" id="{3D73CA1E-619B-45F4-AD16-56C9C28080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C3FE475" w14:textId="77777777" w:rsidR="00121804" w:rsidRDefault="00121804" w:rsidP="00121804">
      <w:pPr>
        <w:pStyle w:val="FigureSource"/>
      </w:pPr>
      <w:r>
        <w:t xml:space="preserve">Source: </w:t>
      </w:r>
      <w:r w:rsidRPr="00040FD8">
        <w:t>New Hampshire Youth Risk Behavior Survey, 2015</w:t>
      </w:r>
      <w:r>
        <w:t xml:space="preserve">, </w:t>
      </w:r>
      <w:r w:rsidRPr="00040FD8">
        <w:t>2017</w:t>
      </w:r>
      <w:r>
        <w:t>, and 2019</w:t>
      </w:r>
    </w:p>
    <w:p w14:paraId="7A2C3391" w14:textId="77777777" w:rsidR="00121804" w:rsidRDefault="00121804" w:rsidP="008F3C56">
      <w:pPr>
        <w:pStyle w:val="ExhibitTitle"/>
      </w:pPr>
      <w:bookmarkStart w:id="116" w:name="_Toc52547236"/>
      <w:bookmarkStart w:id="117" w:name="_Toc64988325"/>
      <w:r>
        <w:lastRenderedPageBreak/>
        <w:t xml:space="preserve">Exhibit </w:t>
      </w:r>
      <w:r w:rsidR="00937D69">
        <w:t>5</w:t>
      </w:r>
      <w:r w:rsidR="003F092C">
        <w:t>5</w:t>
      </w:r>
      <w:r>
        <w:t xml:space="preserve">. </w:t>
      </w:r>
      <w:r w:rsidRPr="00EE66BF">
        <w:t xml:space="preserve">Percentage of students </w:t>
      </w:r>
      <w:r w:rsidR="00FC2EB5">
        <w:t xml:space="preserve">in New Hampshire </w:t>
      </w:r>
      <w:r w:rsidRPr="00EE66BF">
        <w:t>who seriously considered attempting suicide during the past 12 months</w:t>
      </w:r>
      <w:r>
        <w:t>: Age</w:t>
      </w:r>
      <w:bookmarkEnd w:id="116"/>
      <w:bookmarkEnd w:id="117"/>
    </w:p>
    <w:p w14:paraId="0CC3446E" w14:textId="77777777" w:rsidR="00121804" w:rsidRPr="009F2B24" w:rsidRDefault="00121804" w:rsidP="00E43419">
      <w:pPr>
        <w:spacing w:after="0"/>
        <w:rPr>
          <w:lang w:eastAsia="ja-JP"/>
        </w:rPr>
      </w:pPr>
      <w:r>
        <w:rPr>
          <w:noProof/>
        </w:rPr>
        <w:drawing>
          <wp:inline distT="0" distB="0" distL="0" distR="0" wp14:anchorId="669C7EE2" wp14:editId="2DE68AAF">
            <wp:extent cx="5181600" cy="1737360"/>
            <wp:effectExtent l="0" t="0" r="0" b="15240"/>
            <wp:docPr id="25" name="Chart 25">
              <a:extLst xmlns:a="http://schemas.openxmlformats.org/drawingml/2006/main">
                <a:ext uri="{FF2B5EF4-FFF2-40B4-BE49-F238E27FC236}">
                  <a16:creationId xmlns:a16="http://schemas.microsoft.com/office/drawing/2014/main" id="{447FABB9-42CC-44B0-A53B-934D5B3E0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A24E217" w14:textId="77777777" w:rsidR="00121804" w:rsidRPr="00DB5897" w:rsidRDefault="00121804" w:rsidP="00121804">
      <w:pPr>
        <w:pStyle w:val="FigureSource"/>
      </w:pPr>
      <w:r>
        <w:t xml:space="preserve">Source: </w:t>
      </w:r>
      <w:r w:rsidRPr="00040FD8">
        <w:t>New Hampshire Youth Risk Behavior Survey, 2015</w:t>
      </w:r>
      <w:r>
        <w:t xml:space="preserve">, </w:t>
      </w:r>
      <w:r w:rsidRPr="00040FD8">
        <w:t>2017</w:t>
      </w:r>
      <w:r>
        <w:t>, and 2019</w:t>
      </w:r>
    </w:p>
    <w:p w14:paraId="340253B0" w14:textId="77777777" w:rsidR="00121804" w:rsidRDefault="00121804" w:rsidP="008F3C56">
      <w:pPr>
        <w:pStyle w:val="ExhibitTitle"/>
      </w:pPr>
      <w:bookmarkStart w:id="118" w:name="_Toc52547237"/>
      <w:bookmarkStart w:id="119" w:name="_Toc64988326"/>
      <w:r>
        <w:t xml:space="preserve">Exhibit </w:t>
      </w:r>
      <w:r w:rsidR="00937D69">
        <w:t>5</w:t>
      </w:r>
      <w:r w:rsidR="003F092C">
        <w:t>6</w:t>
      </w:r>
      <w:r>
        <w:t xml:space="preserve">. </w:t>
      </w:r>
      <w:r w:rsidRPr="00EE66BF">
        <w:t xml:space="preserve">Percentage of students </w:t>
      </w:r>
      <w:r w:rsidR="00FC2EB5">
        <w:t xml:space="preserve">in New Hampshire </w:t>
      </w:r>
      <w:r w:rsidRPr="00EE66BF">
        <w:t>who seriously considered attempting suicide during the past 12 months</w:t>
      </w:r>
      <w:r>
        <w:t>: Race/Ethnicity</w:t>
      </w:r>
      <w:bookmarkEnd w:id="118"/>
      <w:bookmarkEnd w:id="119"/>
    </w:p>
    <w:p w14:paraId="58515DC7" w14:textId="77777777" w:rsidR="00121804" w:rsidRPr="009F2B24" w:rsidRDefault="00121804" w:rsidP="00E43419">
      <w:pPr>
        <w:spacing w:after="0"/>
        <w:rPr>
          <w:lang w:eastAsia="ja-JP"/>
        </w:rPr>
      </w:pPr>
      <w:r>
        <w:rPr>
          <w:noProof/>
        </w:rPr>
        <w:drawing>
          <wp:inline distT="0" distB="0" distL="0" distR="0" wp14:anchorId="0A09AC41" wp14:editId="47DBF241">
            <wp:extent cx="6126480" cy="1737360"/>
            <wp:effectExtent l="0" t="0" r="7620" b="15240"/>
            <wp:docPr id="26" name="Chart 26">
              <a:extLst xmlns:a="http://schemas.openxmlformats.org/drawingml/2006/main">
                <a:ext uri="{FF2B5EF4-FFF2-40B4-BE49-F238E27FC236}">
                  <a16:creationId xmlns:a16="http://schemas.microsoft.com/office/drawing/2014/main" id="{663477EE-5391-4945-B52D-4B66FFDE9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4878923" w14:textId="77777777" w:rsidR="00121804" w:rsidRPr="00EE66BF" w:rsidRDefault="00121804" w:rsidP="00121804">
      <w:pPr>
        <w:pStyle w:val="FigureSource"/>
      </w:pPr>
      <w:r>
        <w:t xml:space="preserve">Source: </w:t>
      </w:r>
      <w:r w:rsidRPr="00040FD8">
        <w:t>New Hampshire Youth Risk Behavior Survey, 2015</w:t>
      </w:r>
      <w:r>
        <w:t xml:space="preserve">, </w:t>
      </w:r>
      <w:r w:rsidRPr="00040FD8">
        <w:t>2017</w:t>
      </w:r>
      <w:r>
        <w:t>, and 2019</w:t>
      </w:r>
    </w:p>
    <w:p w14:paraId="13F2BB68" w14:textId="77777777" w:rsidR="00435AA1" w:rsidRDefault="00435AA1" w:rsidP="008F3C56">
      <w:pPr>
        <w:pStyle w:val="ExhibitTitle"/>
      </w:pPr>
      <w:bookmarkStart w:id="120" w:name="_Toc64988327"/>
      <w:r>
        <w:t xml:space="preserve">Exhibit </w:t>
      </w:r>
      <w:r w:rsidR="00937D69">
        <w:t>5</w:t>
      </w:r>
      <w:r w:rsidR="003F092C">
        <w:t>7</w:t>
      </w:r>
      <w:r>
        <w:t>. Crude suicide death rates per 100,000, by age group</w:t>
      </w:r>
      <w:r w:rsidR="00386986">
        <w:t>: 2014-2018</w:t>
      </w:r>
      <w:bookmarkEnd w:id="120"/>
    </w:p>
    <w:tbl>
      <w:tblP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1395"/>
        <w:gridCol w:w="1395"/>
      </w:tblGrid>
      <w:tr w:rsidR="00435AA1" w:rsidRPr="00D14E02" w14:paraId="128BA1AB" w14:textId="77777777" w:rsidTr="002C5F62">
        <w:trPr>
          <w:trHeight w:val="300"/>
        </w:trPr>
        <w:tc>
          <w:tcPr>
            <w:tcW w:w="3145" w:type="dxa"/>
            <w:shd w:val="clear" w:color="000000" w:fill="44546A"/>
            <w:vAlign w:val="center"/>
            <w:hideMark/>
          </w:tcPr>
          <w:p w14:paraId="620C3CFA" w14:textId="77777777" w:rsidR="00435AA1" w:rsidRPr="00D14E02" w:rsidRDefault="00435AA1" w:rsidP="007E1C46">
            <w:pPr>
              <w:keepNext/>
              <w:keepLines/>
              <w:spacing w:after="0" w:line="240" w:lineRule="auto"/>
              <w:jc w:val="center"/>
              <w:rPr>
                <w:rFonts w:asciiTheme="majorHAnsi" w:eastAsia="Times New Roman" w:hAnsiTheme="majorHAnsi" w:cs="Arial"/>
                <w:b/>
                <w:bCs/>
                <w:color w:val="FFFFFF"/>
              </w:rPr>
            </w:pPr>
          </w:p>
        </w:tc>
        <w:tc>
          <w:tcPr>
            <w:tcW w:w="1395" w:type="dxa"/>
            <w:shd w:val="clear" w:color="000000" w:fill="44546A"/>
            <w:vAlign w:val="center"/>
          </w:tcPr>
          <w:p w14:paraId="0A8C2581" w14:textId="77777777" w:rsidR="00435AA1" w:rsidRPr="00D14E02" w:rsidRDefault="00435AA1" w:rsidP="007E1C46">
            <w:pPr>
              <w:keepNext/>
              <w:keepLines/>
              <w:spacing w:after="0" w:line="240" w:lineRule="auto"/>
              <w:jc w:val="center"/>
              <w:rPr>
                <w:rFonts w:asciiTheme="majorHAnsi" w:eastAsia="Times New Roman" w:hAnsiTheme="majorHAnsi" w:cs="Arial"/>
                <w:b/>
                <w:bCs/>
                <w:color w:val="FFFFFF"/>
              </w:rPr>
            </w:pPr>
            <w:r w:rsidRPr="00D14E02">
              <w:rPr>
                <w:rFonts w:asciiTheme="majorHAnsi" w:eastAsia="Times New Roman" w:hAnsiTheme="majorHAnsi" w:cs="Arial"/>
                <w:b/>
                <w:bCs/>
                <w:color w:val="FFFFFF"/>
              </w:rPr>
              <w:t>United States</w:t>
            </w:r>
          </w:p>
        </w:tc>
        <w:tc>
          <w:tcPr>
            <w:tcW w:w="1395" w:type="dxa"/>
            <w:shd w:val="clear" w:color="000000" w:fill="44546A"/>
            <w:vAlign w:val="center"/>
          </w:tcPr>
          <w:p w14:paraId="3D8781CE" w14:textId="77777777" w:rsidR="00435AA1" w:rsidRPr="00D14E02" w:rsidRDefault="00435AA1" w:rsidP="007E1C46">
            <w:pPr>
              <w:keepNext/>
              <w:keepLines/>
              <w:spacing w:after="0" w:line="240" w:lineRule="auto"/>
              <w:jc w:val="center"/>
              <w:rPr>
                <w:rFonts w:asciiTheme="majorHAnsi" w:eastAsia="Times New Roman" w:hAnsiTheme="majorHAnsi" w:cs="Arial"/>
                <w:b/>
                <w:bCs/>
                <w:color w:val="FFFFFF"/>
              </w:rPr>
            </w:pPr>
            <w:r w:rsidRPr="00D14E02">
              <w:rPr>
                <w:rFonts w:asciiTheme="majorHAnsi" w:eastAsia="Times New Roman" w:hAnsiTheme="majorHAnsi" w:cs="Arial"/>
                <w:b/>
                <w:bCs/>
                <w:color w:val="FFFFFF"/>
              </w:rPr>
              <w:t>New Hampshire</w:t>
            </w:r>
          </w:p>
        </w:tc>
      </w:tr>
      <w:tr w:rsidR="00435AA1" w:rsidRPr="00D14E02" w14:paraId="5628B6F9" w14:textId="77777777" w:rsidTr="002C5F62">
        <w:trPr>
          <w:trHeight w:val="300"/>
        </w:trPr>
        <w:tc>
          <w:tcPr>
            <w:tcW w:w="3145" w:type="dxa"/>
            <w:shd w:val="clear" w:color="000000" w:fill="F2F2F2"/>
            <w:noWrap/>
            <w:vAlign w:val="center"/>
            <w:hideMark/>
          </w:tcPr>
          <w:p w14:paraId="11C5CAD5" w14:textId="77777777" w:rsidR="00435AA1" w:rsidRPr="00D14E02" w:rsidRDefault="00435AA1" w:rsidP="007E1C46">
            <w:pPr>
              <w:keepNext/>
              <w:keepLines/>
              <w:spacing w:after="0" w:line="240" w:lineRule="auto"/>
              <w:rPr>
                <w:rFonts w:asciiTheme="majorHAnsi" w:eastAsia="Times New Roman" w:hAnsiTheme="majorHAnsi" w:cs="Arial"/>
                <w:color w:val="auto"/>
              </w:rPr>
            </w:pPr>
            <w:r w:rsidRPr="00D14E02">
              <w:rPr>
                <w:rFonts w:asciiTheme="majorHAnsi" w:eastAsia="Times New Roman" w:hAnsiTheme="majorHAnsi" w:cs="Arial"/>
                <w:color w:val="auto"/>
              </w:rPr>
              <w:t>All Ages</w:t>
            </w:r>
          </w:p>
        </w:tc>
        <w:tc>
          <w:tcPr>
            <w:tcW w:w="1395" w:type="dxa"/>
            <w:shd w:val="clear" w:color="000000" w:fill="F2F2F2"/>
            <w:noWrap/>
            <w:vAlign w:val="center"/>
          </w:tcPr>
          <w:p w14:paraId="6C02F936" w14:textId="77777777" w:rsidR="00435AA1" w:rsidRPr="00D14E02" w:rsidRDefault="00435AA1" w:rsidP="007E1C46">
            <w:pPr>
              <w:keepNext/>
              <w:keepLines/>
              <w:spacing w:after="0" w:line="240" w:lineRule="auto"/>
              <w:jc w:val="right"/>
              <w:rPr>
                <w:rFonts w:asciiTheme="majorHAnsi" w:eastAsia="Times New Roman" w:hAnsiTheme="majorHAnsi" w:cs="Arial"/>
                <w:color w:val="auto"/>
              </w:rPr>
            </w:pPr>
            <w:r w:rsidRPr="00D14E02">
              <w:rPr>
                <w:rFonts w:asciiTheme="majorHAnsi" w:eastAsia="Times New Roman" w:hAnsiTheme="majorHAnsi" w:cs="Arial"/>
                <w:color w:val="auto"/>
              </w:rPr>
              <w:t>14.09</w:t>
            </w:r>
          </w:p>
        </w:tc>
        <w:tc>
          <w:tcPr>
            <w:tcW w:w="1395" w:type="dxa"/>
            <w:shd w:val="clear" w:color="000000" w:fill="F2F2F2"/>
            <w:noWrap/>
            <w:vAlign w:val="center"/>
          </w:tcPr>
          <w:p w14:paraId="491F706C" w14:textId="77777777" w:rsidR="00435AA1" w:rsidRPr="00D14E02" w:rsidRDefault="00435AA1" w:rsidP="007E1C46">
            <w:pPr>
              <w:keepNext/>
              <w:keepLines/>
              <w:spacing w:after="0" w:line="240" w:lineRule="auto"/>
              <w:jc w:val="right"/>
              <w:rPr>
                <w:rFonts w:asciiTheme="majorHAnsi" w:eastAsia="Times New Roman" w:hAnsiTheme="majorHAnsi" w:cs="Arial"/>
                <w:color w:val="auto"/>
              </w:rPr>
            </w:pPr>
            <w:r w:rsidRPr="00D14E02">
              <w:rPr>
                <w:rFonts w:asciiTheme="majorHAnsi" w:eastAsia="Times New Roman" w:hAnsiTheme="majorHAnsi" w:cs="Arial"/>
                <w:color w:val="auto"/>
              </w:rPr>
              <w:t>18.8</w:t>
            </w:r>
          </w:p>
        </w:tc>
      </w:tr>
      <w:tr w:rsidR="00435AA1" w:rsidRPr="00D14E02" w14:paraId="14555DD4" w14:textId="77777777" w:rsidTr="002C5F62">
        <w:trPr>
          <w:trHeight w:val="300"/>
        </w:trPr>
        <w:tc>
          <w:tcPr>
            <w:tcW w:w="3145" w:type="dxa"/>
            <w:shd w:val="clear" w:color="auto" w:fill="auto"/>
            <w:noWrap/>
            <w:vAlign w:val="center"/>
            <w:hideMark/>
          </w:tcPr>
          <w:p w14:paraId="73006331" w14:textId="77777777" w:rsidR="00435AA1" w:rsidRPr="00D14E02" w:rsidRDefault="00435AA1" w:rsidP="007E1C46">
            <w:pPr>
              <w:keepNext/>
              <w:keepLines/>
              <w:spacing w:after="0" w:line="240" w:lineRule="auto"/>
              <w:rPr>
                <w:rFonts w:asciiTheme="majorHAnsi" w:eastAsia="Times New Roman" w:hAnsiTheme="majorHAnsi" w:cs="Arial"/>
                <w:color w:val="auto"/>
              </w:rPr>
            </w:pPr>
            <w:r w:rsidRPr="00D14E02">
              <w:rPr>
                <w:rFonts w:asciiTheme="majorHAnsi" w:eastAsia="Times New Roman" w:hAnsiTheme="majorHAnsi" w:cs="Arial"/>
                <w:color w:val="auto"/>
              </w:rPr>
              <w:t>Youth 10-17</w:t>
            </w:r>
          </w:p>
        </w:tc>
        <w:tc>
          <w:tcPr>
            <w:tcW w:w="1395" w:type="dxa"/>
            <w:shd w:val="clear" w:color="auto" w:fill="auto"/>
            <w:noWrap/>
            <w:vAlign w:val="center"/>
          </w:tcPr>
          <w:p w14:paraId="70EA4EDA" w14:textId="77777777" w:rsidR="00435AA1" w:rsidRPr="00D14E02" w:rsidRDefault="00435AA1" w:rsidP="007E1C46">
            <w:pPr>
              <w:keepNext/>
              <w:keepLines/>
              <w:spacing w:after="0" w:line="240" w:lineRule="auto"/>
              <w:jc w:val="right"/>
              <w:rPr>
                <w:rFonts w:asciiTheme="majorHAnsi" w:eastAsia="Times New Roman" w:hAnsiTheme="majorHAnsi" w:cs="Arial"/>
                <w:color w:val="auto"/>
              </w:rPr>
            </w:pPr>
            <w:r w:rsidRPr="00D14E02">
              <w:rPr>
                <w:rFonts w:asciiTheme="majorHAnsi" w:eastAsia="Times New Roman" w:hAnsiTheme="majorHAnsi" w:cs="Arial"/>
                <w:color w:val="auto"/>
              </w:rPr>
              <w:t>4.72</w:t>
            </w:r>
          </w:p>
        </w:tc>
        <w:tc>
          <w:tcPr>
            <w:tcW w:w="1395" w:type="dxa"/>
            <w:shd w:val="clear" w:color="auto" w:fill="auto"/>
            <w:noWrap/>
            <w:vAlign w:val="center"/>
          </w:tcPr>
          <w:p w14:paraId="67DFEB5E" w14:textId="77777777" w:rsidR="00435AA1" w:rsidRPr="00D14E02" w:rsidRDefault="00435AA1" w:rsidP="007E1C46">
            <w:pPr>
              <w:keepNext/>
              <w:keepLines/>
              <w:spacing w:after="0" w:line="240" w:lineRule="auto"/>
              <w:jc w:val="right"/>
              <w:rPr>
                <w:rFonts w:asciiTheme="majorHAnsi" w:eastAsia="Times New Roman" w:hAnsiTheme="majorHAnsi" w:cs="Arial"/>
                <w:color w:val="auto"/>
              </w:rPr>
            </w:pPr>
            <w:r w:rsidRPr="00D14E02">
              <w:rPr>
                <w:rFonts w:asciiTheme="majorHAnsi" w:eastAsia="Times New Roman" w:hAnsiTheme="majorHAnsi" w:cs="Arial"/>
                <w:color w:val="auto"/>
              </w:rPr>
              <w:t>4.55</w:t>
            </w:r>
          </w:p>
        </w:tc>
      </w:tr>
      <w:tr w:rsidR="00435AA1" w:rsidRPr="00D14E02" w14:paraId="43482976" w14:textId="77777777" w:rsidTr="002C5F62">
        <w:trPr>
          <w:trHeight w:val="300"/>
        </w:trPr>
        <w:tc>
          <w:tcPr>
            <w:tcW w:w="3145" w:type="dxa"/>
            <w:shd w:val="clear" w:color="auto" w:fill="F2F2F2"/>
            <w:noWrap/>
            <w:vAlign w:val="center"/>
          </w:tcPr>
          <w:p w14:paraId="29FD37FA" w14:textId="77777777" w:rsidR="00435AA1" w:rsidRPr="00D14E02" w:rsidRDefault="00435AA1" w:rsidP="007E1C46">
            <w:pPr>
              <w:keepNext/>
              <w:keepLines/>
              <w:spacing w:after="0" w:line="240" w:lineRule="auto"/>
              <w:rPr>
                <w:rFonts w:asciiTheme="majorHAnsi" w:eastAsia="Times New Roman" w:hAnsiTheme="majorHAnsi" w:cs="Arial"/>
                <w:color w:val="auto"/>
              </w:rPr>
            </w:pPr>
            <w:r w:rsidRPr="00D14E02">
              <w:rPr>
                <w:rFonts w:asciiTheme="majorHAnsi" w:eastAsia="Times New Roman" w:hAnsiTheme="majorHAnsi" w:cs="Arial"/>
                <w:color w:val="auto"/>
              </w:rPr>
              <w:t>Young Adults 18-24</w:t>
            </w:r>
          </w:p>
        </w:tc>
        <w:tc>
          <w:tcPr>
            <w:tcW w:w="1395" w:type="dxa"/>
            <w:shd w:val="clear" w:color="auto" w:fill="F2F2F2"/>
            <w:noWrap/>
            <w:vAlign w:val="center"/>
          </w:tcPr>
          <w:p w14:paraId="725940DE" w14:textId="77777777" w:rsidR="00435AA1" w:rsidRPr="00D14E02" w:rsidRDefault="00435AA1" w:rsidP="007E1C46">
            <w:pPr>
              <w:keepNext/>
              <w:keepLines/>
              <w:spacing w:after="0" w:line="240" w:lineRule="auto"/>
              <w:jc w:val="right"/>
              <w:rPr>
                <w:rFonts w:asciiTheme="majorHAnsi" w:eastAsia="Times New Roman" w:hAnsiTheme="majorHAnsi" w:cs="Arial"/>
                <w:color w:val="auto"/>
              </w:rPr>
            </w:pPr>
            <w:r w:rsidRPr="00D14E02">
              <w:rPr>
                <w:rFonts w:asciiTheme="majorHAnsi" w:eastAsia="Times New Roman" w:hAnsiTheme="majorHAnsi" w:cs="Arial"/>
                <w:color w:val="auto"/>
              </w:rPr>
              <w:t>15.08</w:t>
            </w:r>
          </w:p>
        </w:tc>
        <w:tc>
          <w:tcPr>
            <w:tcW w:w="1395" w:type="dxa"/>
            <w:shd w:val="clear" w:color="auto" w:fill="F2F2F2"/>
            <w:noWrap/>
            <w:vAlign w:val="center"/>
          </w:tcPr>
          <w:p w14:paraId="651A76B0" w14:textId="77777777" w:rsidR="00435AA1" w:rsidRPr="00D14E02" w:rsidRDefault="00435AA1" w:rsidP="007E1C46">
            <w:pPr>
              <w:keepNext/>
              <w:keepLines/>
              <w:spacing w:after="0" w:line="240" w:lineRule="auto"/>
              <w:jc w:val="right"/>
              <w:rPr>
                <w:rFonts w:asciiTheme="majorHAnsi" w:eastAsia="Times New Roman" w:hAnsiTheme="majorHAnsi" w:cs="Arial"/>
                <w:color w:val="auto"/>
              </w:rPr>
            </w:pPr>
            <w:r w:rsidRPr="00D14E02">
              <w:rPr>
                <w:rFonts w:asciiTheme="majorHAnsi" w:eastAsia="Times New Roman" w:hAnsiTheme="majorHAnsi" w:cs="Arial"/>
                <w:color w:val="auto"/>
              </w:rPr>
              <w:t>20.86</w:t>
            </w:r>
          </w:p>
        </w:tc>
      </w:tr>
      <w:tr w:rsidR="00435AA1" w:rsidRPr="00D14E02" w14:paraId="3067543F" w14:textId="77777777" w:rsidTr="002C5F62">
        <w:trPr>
          <w:trHeight w:val="300"/>
        </w:trPr>
        <w:tc>
          <w:tcPr>
            <w:tcW w:w="3145" w:type="dxa"/>
            <w:shd w:val="clear" w:color="auto" w:fill="auto"/>
            <w:noWrap/>
            <w:vAlign w:val="center"/>
          </w:tcPr>
          <w:p w14:paraId="426B6072" w14:textId="77777777" w:rsidR="00435AA1" w:rsidRPr="00D14E02" w:rsidRDefault="00435AA1" w:rsidP="007E1C46">
            <w:pPr>
              <w:keepNext/>
              <w:keepLines/>
              <w:spacing w:after="0" w:line="240" w:lineRule="auto"/>
              <w:rPr>
                <w:rFonts w:asciiTheme="majorHAnsi" w:eastAsia="Times New Roman" w:hAnsiTheme="majorHAnsi" w:cs="Arial"/>
                <w:color w:val="auto"/>
              </w:rPr>
            </w:pPr>
            <w:r w:rsidRPr="00D14E02">
              <w:rPr>
                <w:rFonts w:asciiTheme="majorHAnsi" w:eastAsia="Times New Roman" w:hAnsiTheme="majorHAnsi" w:cs="Arial"/>
                <w:color w:val="auto"/>
              </w:rPr>
              <w:t>Youth and Young Adults 10-24</w:t>
            </w:r>
          </w:p>
        </w:tc>
        <w:tc>
          <w:tcPr>
            <w:tcW w:w="1395" w:type="dxa"/>
            <w:shd w:val="clear" w:color="auto" w:fill="auto"/>
            <w:noWrap/>
            <w:vAlign w:val="center"/>
          </w:tcPr>
          <w:p w14:paraId="2C5FC151" w14:textId="77777777" w:rsidR="00435AA1" w:rsidRPr="00D14E02" w:rsidRDefault="00435AA1" w:rsidP="007E1C46">
            <w:pPr>
              <w:keepNext/>
              <w:keepLines/>
              <w:spacing w:after="0" w:line="240" w:lineRule="auto"/>
              <w:jc w:val="right"/>
              <w:rPr>
                <w:rFonts w:asciiTheme="majorHAnsi" w:eastAsia="Times New Roman" w:hAnsiTheme="majorHAnsi" w:cs="Arial"/>
                <w:color w:val="auto"/>
              </w:rPr>
            </w:pPr>
            <w:r w:rsidRPr="00D14E02">
              <w:rPr>
                <w:rFonts w:asciiTheme="majorHAnsi" w:eastAsia="Times New Roman" w:hAnsiTheme="majorHAnsi" w:cs="Arial"/>
                <w:color w:val="auto"/>
              </w:rPr>
              <w:t>9.71</w:t>
            </w:r>
          </w:p>
        </w:tc>
        <w:tc>
          <w:tcPr>
            <w:tcW w:w="1395" w:type="dxa"/>
            <w:shd w:val="clear" w:color="auto" w:fill="auto"/>
            <w:noWrap/>
            <w:vAlign w:val="center"/>
          </w:tcPr>
          <w:p w14:paraId="70881A56" w14:textId="77777777" w:rsidR="00435AA1" w:rsidRPr="00D14E02" w:rsidRDefault="00435AA1" w:rsidP="007E1C46">
            <w:pPr>
              <w:keepNext/>
              <w:keepLines/>
              <w:spacing w:after="0" w:line="240" w:lineRule="auto"/>
              <w:jc w:val="right"/>
              <w:rPr>
                <w:rFonts w:asciiTheme="majorHAnsi" w:eastAsia="Times New Roman" w:hAnsiTheme="majorHAnsi" w:cs="Arial"/>
                <w:color w:val="auto"/>
              </w:rPr>
            </w:pPr>
            <w:r w:rsidRPr="00D14E02">
              <w:rPr>
                <w:rFonts w:asciiTheme="majorHAnsi" w:eastAsia="Times New Roman" w:hAnsiTheme="majorHAnsi" w:cs="Arial"/>
                <w:color w:val="auto"/>
              </w:rPr>
              <w:t>12.73</w:t>
            </w:r>
          </w:p>
        </w:tc>
      </w:tr>
    </w:tbl>
    <w:p w14:paraId="0717CA3C" w14:textId="77777777" w:rsidR="00121804" w:rsidRPr="00E43419" w:rsidRDefault="00435AA1" w:rsidP="00E43419">
      <w:pPr>
        <w:pStyle w:val="FigureSource"/>
      </w:pPr>
      <w:r>
        <w:t xml:space="preserve">Source: </w:t>
      </w:r>
      <w:r w:rsidRPr="00435AA1">
        <w:t>New Hampshire Suicide Prevention Annual Report</w:t>
      </w:r>
      <w:r>
        <w:t>,</w:t>
      </w:r>
      <w:r w:rsidRPr="00435AA1">
        <w:t xml:space="preserve"> 2019</w:t>
      </w:r>
    </w:p>
    <w:p w14:paraId="016A5D7A" w14:textId="77777777" w:rsidR="0066048D" w:rsidRDefault="0066048D" w:rsidP="00E43419">
      <w:pPr>
        <w:pStyle w:val="Heading3"/>
        <w:spacing w:before="480"/>
        <w:rPr>
          <w:rFonts w:eastAsia="Calibri"/>
        </w:rPr>
      </w:pPr>
      <w:bookmarkStart w:id="121" w:name="_Toc64988266"/>
      <w:r w:rsidRPr="0066048D">
        <w:rPr>
          <w:rFonts w:eastAsia="Calibri"/>
        </w:rPr>
        <w:lastRenderedPageBreak/>
        <w:t>Drug- and Alcohol-Related Crime</w:t>
      </w:r>
      <w:bookmarkEnd w:id="121"/>
    </w:p>
    <w:p w14:paraId="6890C911" w14:textId="596EA86D" w:rsidR="00300B51" w:rsidRPr="00300B51" w:rsidRDefault="00DE0440" w:rsidP="008F3C56">
      <w:pPr>
        <w:pStyle w:val="ExhibitTitle"/>
      </w:pPr>
      <w:bookmarkStart w:id="122" w:name="_Toc64988328"/>
      <w:r>
        <w:t xml:space="preserve">Exhibit </w:t>
      </w:r>
      <w:r w:rsidR="00937D69">
        <w:t>5</w:t>
      </w:r>
      <w:r w:rsidR="003F092C">
        <w:t>8</w:t>
      </w:r>
      <w:r>
        <w:t xml:space="preserve">. </w:t>
      </w:r>
      <w:r w:rsidR="00300B51">
        <w:t xml:space="preserve">Percentage of total arrests that are alcohol- or drug-related among </w:t>
      </w:r>
      <w:r w:rsidR="002C5F62">
        <w:br/>
      </w:r>
      <w:r w:rsidR="00300B51">
        <w:t>youth under</w:t>
      </w:r>
      <w:r w:rsidR="00F65634">
        <w:t xml:space="preserve"> </w:t>
      </w:r>
      <w:r w:rsidR="00300B51">
        <w:t>18</w:t>
      </w:r>
      <w:bookmarkEnd w:id="122"/>
    </w:p>
    <w:p w14:paraId="157E706A" w14:textId="77777777" w:rsidR="00FC2EB5" w:rsidRDefault="005622FC" w:rsidP="00E43419">
      <w:pPr>
        <w:spacing w:after="0"/>
      </w:pPr>
      <w:r>
        <w:rPr>
          <w:noProof/>
        </w:rPr>
        <w:drawing>
          <wp:inline distT="0" distB="0" distL="0" distR="0" wp14:anchorId="233D7E40" wp14:editId="27F4124C">
            <wp:extent cx="5550408" cy="1737360"/>
            <wp:effectExtent l="0" t="0" r="12700" b="15240"/>
            <wp:docPr id="28" name="Chart 28">
              <a:extLst xmlns:a="http://schemas.openxmlformats.org/drawingml/2006/main">
                <a:ext uri="{FF2B5EF4-FFF2-40B4-BE49-F238E27FC236}">
                  <a16:creationId xmlns:a16="http://schemas.microsoft.com/office/drawing/2014/main" id="{22889238-D056-4F18-A6DA-EF16A2AA7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EAB4C47" w14:textId="0EFCCE70" w:rsidR="00883051" w:rsidRDefault="00300B51" w:rsidP="00E43419">
      <w:pPr>
        <w:pStyle w:val="FigureSource"/>
      </w:pPr>
      <w:r>
        <w:t xml:space="preserve">Source: </w:t>
      </w:r>
      <w:r w:rsidRPr="00300B51">
        <w:t>Data derived from the Federal Bureau of Investigation's Uniform Crime Reporting (UCR) Program. Measure calculation: Percent of arrests that are alcohol or drug-related = Number of alcohol or drug-related arrests divided by the total number of arrests and multiplied by 100.</w:t>
      </w:r>
    </w:p>
    <w:p w14:paraId="7C9A1B5A" w14:textId="77777777" w:rsidR="00146C3D" w:rsidRPr="00883051" w:rsidRDefault="00146C3D" w:rsidP="00146C3D">
      <w:pPr>
        <w:pStyle w:val="FigureNumber"/>
        <w:numPr>
          <w:ilvl w:val="0"/>
          <w:numId w:val="0"/>
        </w:numPr>
        <w:spacing w:before="0"/>
      </w:pPr>
    </w:p>
    <w:p w14:paraId="0A5B43FE" w14:textId="77777777" w:rsidR="00957D34" w:rsidRDefault="00883051" w:rsidP="00E43419">
      <w:pPr>
        <w:pStyle w:val="Heading3"/>
      </w:pPr>
      <w:bookmarkStart w:id="123" w:name="_Toc64988267"/>
      <w:r>
        <w:t>Opioid-Related Deaths</w:t>
      </w:r>
      <w:bookmarkEnd w:id="123"/>
    </w:p>
    <w:p w14:paraId="6A4C11E8" w14:textId="437074FB" w:rsidR="00DE0440" w:rsidRDefault="00DE0440" w:rsidP="008F3C56">
      <w:pPr>
        <w:pStyle w:val="ExhibitTitle"/>
      </w:pPr>
      <w:bookmarkStart w:id="124" w:name="_Toc64988329"/>
      <w:r>
        <w:t xml:space="preserve">Exhibit </w:t>
      </w:r>
      <w:r w:rsidR="00937D69">
        <w:t>5</w:t>
      </w:r>
      <w:r w:rsidR="003F092C">
        <w:t>9</w:t>
      </w:r>
      <w:r>
        <w:t>. Opioid-Related Deaths</w:t>
      </w:r>
      <w:bookmarkEnd w:id="124"/>
    </w:p>
    <w:p w14:paraId="4C448A2A" w14:textId="4605D838" w:rsidR="003F16B0" w:rsidRPr="003F16B0" w:rsidRDefault="003F16B0" w:rsidP="003F16B0">
      <w:pPr>
        <w:rPr>
          <w:lang w:eastAsia="ja-JP"/>
        </w:rPr>
      </w:pPr>
      <w:r>
        <w:rPr>
          <w:lang w:eastAsia="ja-JP"/>
        </w:rPr>
        <w:t>(Note: 2018 and 2020 numbers do not cover the entire year)</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839"/>
        <w:gridCol w:w="839"/>
        <w:gridCol w:w="839"/>
        <w:gridCol w:w="903"/>
        <w:gridCol w:w="775"/>
        <w:gridCol w:w="935"/>
      </w:tblGrid>
      <w:tr w:rsidR="00435AA1" w:rsidRPr="002C5F62" w14:paraId="5067AB08" w14:textId="77777777" w:rsidTr="002C5F62">
        <w:trPr>
          <w:trHeight w:val="300"/>
        </w:trPr>
        <w:tc>
          <w:tcPr>
            <w:tcW w:w="4315" w:type="dxa"/>
            <w:shd w:val="clear" w:color="000000" w:fill="44546A"/>
            <w:vAlign w:val="center"/>
            <w:hideMark/>
          </w:tcPr>
          <w:p w14:paraId="0357D8B0" w14:textId="77777777" w:rsidR="00435AA1" w:rsidRPr="002C5F62" w:rsidRDefault="00435AA1" w:rsidP="00435AA1">
            <w:pPr>
              <w:spacing w:after="0" w:line="240" w:lineRule="auto"/>
              <w:jc w:val="center"/>
              <w:rPr>
                <w:rFonts w:asciiTheme="majorHAnsi" w:eastAsia="Times New Roman" w:hAnsiTheme="majorHAnsi" w:cs="Arial"/>
                <w:b/>
                <w:bCs/>
                <w:color w:val="FFFFFF"/>
              </w:rPr>
            </w:pPr>
            <w:r w:rsidRPr="002C5F62">
              <w:rPr>
                <w:rFonts w:asciiTheme="majorHAnsi" w:eastAsia="Times New Roman" w:hAnsiTheme="majorHAnsi" w:cs="Arial"/>
                <w:b/>
                <w:bCs/>
                <w:color w:val="FFFFFF"/>
              </w:rPr>
              <w:t>Opiate/ Opioid</w:t>
            </w:r>
          </w:p>
        </w:tc>
        <w:tc>
          <w:tcPr>
            <w:tcW w:w="839" w:type="dxa"/>
            <w:shd w:val="clear" w:color="000000" w:fill="44546A"/>
            <w:vAlign w:val="center"/>
            <w:hideMark/>
          </w:tcPr>
          <w:p w14:paraId="5C207E86" w14:textId="77777777" w:rsidR="00435AA1" w:rsidRPr="002C5F62" w:rsidRDefault="00435AA1" w:rsidP="00435AA1">
            <w:pPr>
              <w:spacing w:after="0" w:line="240" w:lineRule="auto"/>
              <w:jc w:val="center"/>
              <w:rPr>
                <w:rFonts w:asciiTheme="majorHAnsi" w:eastAsia="Times New Roman" w:hAnsiTheme="majorHAnsi" w:cs="Arial"/>
                <w:b/>
                <w:bCs/>
                <w:color w:val="FFFFFF"/>
              </w:rPr>
            </w:pPr>
            <w:r w:rsidRPr="002C5F62">
              <w:rPr>
                <w:rFonts w:asciiTheme="majorHAnsi" w:eastAsia="Times New Roman" w:hAnsiTheme="majorHAnsi" w:cs="Arial"/>
                <w:b/>
                <w:bCs/>
                <w:color w:val="FFFFFF"/>
              </w:rPr>
              <w:t>2015</w:t>
            </w:r>
          </w:p>
        </w:tc>
        <w:tc>
          <w:tcPr>
            <w:tcW w:w="839" w:type="dxa"/>
            <w:shd w:val="clear" w:color="000000" w:fill="44546A"/>
            <w:vAlign w:val="center"/>
            <w:hideMark/>
          </w:tcPr>
          <w:p w14:paraId="65A2C96C" w14:textId="77777777" w:rsidR="00435AA1" w:rsidRPr="002C5F62" w:rsidRDefault="00435AA1" w:rsidP="00435AA1">
            <w:pPr>
              <w:spacing w:after="0" w:line="240" w:lineRule="auto"/>
              <w:jc w:val="center"/>
              <w:rPr>
                <w:rFonts w:asciiTheme="majorHAnsi" w:eastAsia="Times New Roman" w:hAnsiTheme="majorHAnsi" w:cs="Arial"/>
                <w:b/>
                <w:bCs/>
                <w:color w:val="FFFFFF"/>
              </w:rPr>
            </w:pPr>
            <w:r w:rsidRPr="002C5F62">
              <w:rPr>
                <w:rFonts w:asciiTheme="majorHAnsi" w:eastAsia="Times New Roman" w:hAnsiTheme="majorHAnsi" w:cs="Arial"/>
                <w:b/>
                <w:bCs/>
                <w:color w:val="FFFFFF"/>
              </w:rPr>
              <w:t>2016</w:t>
            </w:r>
          </w:p>
        </w:tc>
        <w:tc>
          <w:tcPr>
            <w:tcW w:w="839" w:type="dxa"/>
            <w:shd w:val="clear" w:color="000000" w:fill="44546A"/>
            <w:vAlign w:val="center"/>
            <w:hideMark/>
          </w:tcPr>
          <w:p w14:paraId="31161FE8" w14:textId="77777777" w:rsidR="00435AA1" w:rsidRPr="002C5F62" w:rsidRDefault="00435AA1" w:rsidP="00435AA1">
            <w:pPr>
              <w:spacing w:after="0" w:line="240" w:lineRule="auto"/>
              <w:jc w:val="center"/>
              <w:rPr>
                <w:rFonts w:asciiTheme="majorHAnsi" w:eastAsia="Times New Roman" w:hAnsiTheme="majorHAnsi" w:cs="Arial"/>
                <w:b/>
                <w:bCs/>
                <w:color w:val="FFFFFF"/>
              </w:rPr>
            </w:pPr>
            <w:r w:rsidRPr="002C5F62">
              <w:rPr>
                <w:rFonts w:asciiTheme="majorHAnsi" w:eastAsia="Times New Roman" w:hAnsiTheme="majorHAnsi" w:cs="Arial"/>
                <w:b/>
                <w:bCs/>
                <w:color w:val="FFFFFF"/>
              </w:rPr>
              <w:t>2017</w:t>
            </w:r>
          </w:p>
        </w:tc>
        <w:tc>
          <w:tcPr>
            <w:tcW w:w="903" w:type="dxa"/>
            <w:shd w:val="clear" w:color="000000" w:fill="44546A"/>
            <w:vAlign w:val="center"/>
          </w:tcPr>
          <w:p w14:paraId="38D2E1CC" w14:textId="77777777" w:rsidR="00435AA1" w:rsidRPr="002C5F62" w:rsidRDefault="00435AA1" w:rsidP="00435AA1">
            <w:pPr>
              <w:spacing w:after="0" w:line="240" w:lineRule="auto"/>
              <w:jc w:val="center"/>
              <w:rPr>
                <w:rFonts w:asciiTheme="majorHAnsi" w:eastAsia="Times New Roman" w:hAnsiTheme="majorHAnsi" w:cs="Arial"/>
                <w:b/>
                <w:bCs/>
                <w:color w:val="FFFFFF"/>
              </w:rPr>
            </w:pPr>
            <w:r w:rsidRPr="002C5F62">
              <w:rPr>
                <w:rFonts w:asciiTheme="majorHAnsi" w:eastAsia="Times New Roman" w:hAnsiTheme="majorHAnsi" w:cs="Arial"/>
                <w:b/>
                <w:bCs/>
                <w:color w:val="FFFFFF"/>
              </w:rPr>
              <w:t>2018*</w:t>
            </w:r>
          </w:p>
        </w:tc>
        <w:tc>
          <w:tcPr>
            <w:tcW w:w="775" w:type="dxa"/>
            <w:shd w:val="clear" w:color="000000" w:fill="44546A"/>
            <w:vAlign w:val="center"/>
          </w:tcPr>
          <w:p w14:paraId="0D2D12C6" w14:textId="77777777" w:rsidR="00435AA1" w:rsidRPr="002C5F62" w:rsidRDefault="00435AA1" w:rsidP="00435AA1">
            <w:pPr>
              <w:spacing w:after="0" w:line="240" w:lineRule="auto"/>
              <w:jc w:val="center"/>
              <w:rPr>
                <w:rFonts w:asciiTheme="majorHAnsi" w:eastAsia="Times New Roman" w:hAnsiTheme="majorHAnsi" w:cs="Arial"/>
                <w:b/>
                <w:bCs/>
                <w:color w:val="FFFFFF"/>
              </w:rPr>
            </w:pPr>
            <w:r w:rsidRPr="002C5F62">
              <w:rPr>
                <w:rFonts w:asciiTheme="majorHAnsi" w:eastAsia="Times New Roman" w:hAnsiTheme="majorHAnsi" w:cs="Arial"/>
                <w:b/>
                <w:bCs/>
                <w:color w:val="FFFFFF"/>
              </w:rPr>
              <w:t>2019</w:t>
            </w:r>
          </w:p>
        </w:tc>
        <w:tc>
          <w:tcPr>
            <w:tcW w:w="935" w:type="dxa"/>
            <w:shd w:val="clear" w:color="000000" w:fill="44546A"/>
            <w:vAlign w:val="center"/>
          </w:tcPr>
          <w:p w14:paraId="1535EA3C" w14:textId="77777777" w:rsidR="00435AA1" w:rsidRPr="002C5F62" w:rsidRDefault="00435AA1" w:rsidP="00435AA1">
            <w:pPr>
              <w:spacing w:after="0" w:line="240" w:lineRule="auto"/>
              <w:jc w:val="center"/>
              <w:rPr>
                <w:rFonts w:asciiTheme="majorHAnsi" w:eastAsia="Times New Roman" w:hAnsiTheme="majorHAnsi" w:cs="Arial"/>
                <w:b/>
                <w:bCs/>
                <w:color w:val="FFFFFF"/>
              </w:rPr>
            </w:pPr>
            <w:r w:rsidRPr="002C5F62">
              <w:rPr>
                <w:rFonts w:asciiTheme="majorHAnsi" w:eastAsia="Times New Roman" w:hAnsiTheme="majorHAnsi" w:cs="Arial"/>
                <w:b/>
                <w:bCs/>
                <w:color w:val="FFFFFF"/>
              </w:rPr>
              <w:t>2020</w:t>
            </w:r>
            <w:r w:rsidRPr="002C5F62">
              <w:rPr>
                <w:rFonts w:asciiTheme="majorHAnsi" w:eastAsia="Times New Roman" w:hAnsiTheme="majorHAnsi" w:cs="Arial"/>
                <w:b/>
                <w:bCs/>
                <w:color w:val="FFFFFF"/>
                <w:vertAlign w:val="superscript"/>
              </w:rPr>
              <w:t>†</w:t>
            </w:r>
          </w:p>
        </w:tc>
      </w:tr>
      <w:tr w:rsidR="00435AA1" w:rsidRPr="002C5F62" w14:paraId="53F3B58E" w14:textId="77777777" w:rsidTr="002C5F62">
        <w:trPr>
          <w:trHeight w:val="300"/>
        </w:trPr>
        <w:tc>
          <w:tcPr>
            <w:tcW w:w="4315" w:type="dxa"/>
            <w:shd w:val="clear" w:color="000000" w:fill="F2F2F2"/>
            <w:noWrap/>
            <w:vAlign w:val="center"/>
            <w:hideMark/>
          </w:tcPr>
          <w:p w14:paraId="34192454" w14:textId="77777777" w:rsidR="00435AA1" w:rsidRPr="002C5F62" w:rsidRDefault="00435AA1" w:rsidP="00435AA1">
            <w:pPr>
              <w:spacing w:after="0" w:line="240" w:lineRule="auto"/>
              <w:rPr>
                <w:rFonts w:asciiTheme="majorHAnsi" w:eastAsia="Times New Roman" w:hAnsiTheme="majorHAnsi" w:cs="Arial"/>
                <w:color w:val="auto"/>
              </w:rPr>
            </w:pPr>
            <w:r w:rsidRPr="002C5F62">
              <w:rPr>
                <w:rFonts w:asciiTheme="majorHAnsi" w:eastAsia="Times New Roman" w:hAnsiTheme="majorHAnsi" w:cs="Arial"/>
                <w:color w:val="auto"/>
              </w:rPr>
              <w:t>Fentanyl (no other drugs)</w:t>
            </w:r>
          </w:p>
        </w:tc>
        <w:tc>
          <w:tcPr>
            <w:tcW w:w="839" w:type="dxa"/>
            <w:shd w:val="clear" w:color="000000" w:fill="F2F2F2"/>
            <w:noWrap/>
            <w:vAlign w:val="center"/>
            <w:hideMark/>
          </w:tcPr>
          <w:p w14:paraId="43937CDD"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24</w:t>
            </w:r>
          </w:p>
        </w:tc>
        <w:tc>
          <w:tcPr>
            <w:tcW w:w="839" w:type="dxa"/>
            <w:shd w:val="clear" w:color="000000" w:fill="F2F2F2"/>
            <w:noWrap/>
            <w:vAlign w:val="center"/>
            <w:hideMark/>
          </w:tcPr>
          <w:p w14:paraId="0C29F5AB"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34</w:t>
            </w:r>
          </w:p>
        </w:tc>
        <w:tc>
          <w:tcPr>
            <w:tcW w:w="839" w:type="dxa"/>
            <w:shd w:val="clear" w:color="000000" w:fill="F2F2F2"/>
            <w:noWrap/>
            <w:vAlign w:val="center"/>
            <w:hideMark/>
          </w:tcPr>
          <w:p w14:paraId="40C24A42"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33</w:t>
            </w:r>
          </w:p>
        </w:tc>
        <w:tc>
          <w:tcPr>
            <w:tcW w:w="903" w:type="dxa"/>
            <w:shd w:val="clear" w:color="000000" w:fill="F2F2F2"/>
            <w:vAlign w:val="center"/>
          </w:tcPr>
          <w:p w14:paraId="78A79519"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10</w:t>
            </w:r>
          </w:p>
        </w:tc>
        <w:tc>
          <w:tcPr>
            <w:tcW w:w="775" w:type="dxa"/>
            <w:shd w:val="clear" w:color="000000" w:fill="F2F2F2"/>
            <w:vAlign w:val="center"/>
          </w:tcPr>
          <w:p w14:paraId="500FD917"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12</w:t>
            </w:r>
          </w:p>
        </w:tc>
        <w:tc>
          <w:tcPr>
            <w:tcW w:w="935" w:type="dxa"/>
            <w:shd w:val="clear" w:color="000000" w:fill="F2F2F2"/>
            <w:vAlign w:val="center"/>
          </w:tcPr>
          <w:p w14:paraId="0B082EAF"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8</w:t>
            </w:r>
          </w:p>
        </w:tc>
      </w:tr>
      <w:tr w:rsidR="00435AA1" w:rsidRPr="002C5F62" w14:paraId="19F0E6FB" w14:textId="77777777" w:rsidTr="002C5F62">
        <w:trPr>
          <w:trHeight w:val="300"/>
        </w:trPr>
        <w:tc>
          <w:tcPr>
            <w:tcW w:w="4315" w:type="dxa"/>
            <w:shd w:val="clear" w:color="auto" w:fill="auto"/>
            <w:noWrap/>
            <w:vAlign w:val="center"/>
            <w:hideMark/>
          </w:tcPr>
          <w:p w14:paraId="4788FB73" w14:textId="77777777" w:rsidR="00435AA1" w:rsidRPr="002C5F62" w:rsidRDefault="00435AA1" w:rsidP="00435AA1">
            <w:pPr>
              <w:spacing w:after="0" w:line="240" w:lineRule="auto"/>
              <w:rPr>
                <w:rFonts w:asciiTheme="majorHAnsi" w:eastAsia="Times New Roman" w:hAnsiTheme="majorHAnsi" w:cs="Arial"/>
                <w:color w:val="auto"/>
              </w:rPr>
            </w:pPr>
            <w:r w:rsidRPr="002C5F62">
              <w:rPr>
                <w:rFonts w:asciiTheme="majorHAnsi" w:eastAsia="Times New Roman" w:hAnsiTheme="majorHAnsi" w:cs="Arial"/>
                <w:color w:val="auto"/>
              </w:rPr>
              <w:t>Fentanyl and Other Drugs (excluding heroin)</w:t>
            </w:r>
          </w:p>
        </w:tc>
        <w:tc>
          <w:tcPr>
            <w:tcW w:w="839" w:type="dxa"/>
            <w:shd w:val="clear" w:color="auto" w:fill="auto"/>
            <w:noWrap/>
            <w:vAlign w:val="center"/>
            <w:hideMark/>
          </w:tcPr>
          <w:p w14:paraId="6D235612"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9</w:t>
            </w:r>
          </w:p>
        </w:tc>
        <w:tc>
          <w:tcPr>
            <w:tcW w:w="839" w:type="dxa"/>
            <w:shd w:val="clear" w:color="auto" w:fill="auto"/>
            <w:noWrap/>
            <w:vAlign w:val="center"/>
            <w:hideMark/>
          </w:tcPr>
          <w:p w14:paraId="7FA9F4EF"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9</w:t>
            </w:r>
          </w:p>
        </w:tc>
        <w:tc>
          <w:tcPr>
            <w:tcW w:w="839" w:type="dxa"/>
            <w:shd w:val="clear" w:color="auto" w:fill="auto"/>
            <w:noWrap/>
            <w:vAlign w:val="center"/>
            <w:hideMark/>
          </w:tcPr>
          <w:p w14:paraId="36267387"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16</w:t>
            </w:r>
          </w:p>
        </w:tc>
        <w:tc>
          <w:tcPr>
            <w:tcW w:w="903" w:type="dxa"/>
            <w:vAlign w:val="center"/>
          </w:tcPr>
          <w:p w14:paraId="7C2AE1DF"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2</w:t>
            </w:r>
          </w:p>
        </w:tc>
        <w:tc>
          <w:tcPr>
            <w:tcW w:w="775" w:type="dxa"/>
            <w:vAlign w:val="center"/>
          </w:tcPr>
          <w:p w14:paraId="1428346E"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19</w:t>
            </w:r>
          </w:p>
        </w:tc>
        <w:tc>
          <w:tcPr>
            <w:tcW w:w="935" w:type="dxa"/>
            <w:vAlign w:val="center"/>
          </w:tcPr>
          <w:p w14:paraId="657022B8"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6</w:t>
            </w:r>
          </w:p>
        </w:tc>
      </w:tr>
      <w:tr w:rsidR="00435AA1" w:rsidRPr="002C5F62" w14:paraId="23384DA5" w14:textId="77777777" w:rsidTr="002C5F62">
        <w:trPr>
          <w:trHeight w:val="300"/>
        </w:trPr>
        <w:tc>
          <w:tcPr>
            <w:tcW w:w="4315" w:type="dxa"/>
            <w:shd w:val="clear" w:color="000000" w:fill="F2F2F2"/>
            <w:noWrap/>
            <w:vAlign w:val="center"/>
            <w:hideMark/>
          </w:tcPr>
          <w:p w14:paraId="49D9E182" w14:textId="77777777" w:rsidR="00435AA1" w:rsidRPr="002C5F62" w:rsidRDefault="00435AA1" w:rsidP="00435AA1">
            <w:pPr>
              <w:spacing w:after="0" w:line="240" w:lineRule="auto"/>
              <w:rPr>
                <w:rFonts w:asciiTheme="majorHAnsi" w:eastAsia="Times New Roman" w:hAnsiTheme="majorHAnsi" w:cs="Arial"/>
                <w:color w:val="auto"/>
              </w:rPr>
            </w:pPr>
            <w:r w:rsidRPr="002C5F62">
              <w:rPr>
                <w:rFonts w:asciiTheme="majorHAnsi" w:eastAsia="Times New Roman" w:hAnsiTheme="majorHAnsi" w:cs="Arial"/>
                <w:color w:val="auto"/>
              </w:rPr>
              <w:t>Heroin (no other drugs)</w:t>
            </w:r>
          </w:p>
        </w:tc>
        <w:tc>
          <w:tcPr>
            <w:tcW w:w="839" w:type="dxa"/>
            <w:shd w:val="clear" w:color="000000" w:fill="F2F2F2"/>
            <w:noWrap/>
            <w:vAlign w:val="center"/>
            <w:hideMark/>
          </w:tcPr>
          <w:p w14:paraId="46AD0627"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6</w:t>
            </w:r>
          </w:p>
        </w:tc>
        <w:tc>
          <w:tcPr>
            <w:tcW w:w="839" w:type="dxa"/>
            <w:shd w:val="clear" w:color="000000" w:fill="F2F2F2"/>
            <w:noWrap/>
            <w:vAlign w:val="center"/>
            <w:hideMark/>
          </w:tcPr>
          <w:p w14:paraId="76D1DC68"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839" w:type="dxa"/>
            <w:shd w:val="clear" w:color="000000" w:fill="F2F2F2"/>
            <w:noWrap/>
            <w:vAlign w:val="center"/>
            <w:hideMark/>
          </w:tcPr>
          <w:p w14:paraId="6C01849B"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903" w:type="dxa"/>
            <w:shd w:val="clear" w:color="000000" w:fill="F2F2F2"/>
            <w:vAlign w:val="center"/>
          </w:tcPr>
          <w:p w14:paraId="11490DD8"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775" w:type="dxa"/>
            <w:shd w:val="clear" w:color="000000" w:fill="F2F2F2"/>
            <w:vAlign w:val="center"/>
          </w:tcPr>
          <w:p w14:paraId="3AA4E1B9"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935" w:type="dxa"/>
            <w:shd w:val="clear" w:color="000000" w:fill="F2F2F2"/>
            <w:vAlign w:val="center"/>
          </w:tcPr>
          <w:p w14:paraId="62745045"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r>
      <w:tr w:rsidR="00435AA1" w:rsidRPr="002C5F62" w14:paraId="6187EFF6" w14:textId="77777777" w:rsidTr="002C5F62">
        <w:trPr>
          <w:trHeight w:val="300"/>
        </w:trPr>
        <w:tc>
          <w:tcPr>
            <w:tcW w:w="4315" w:type="dxa"/>
            <w:shd w:val="clear" w:color="auto" w:fill="auto"/>
            <w:noWrap/>
            <w:vAlign w:val="center"/>
            <w:hideMark/>
          </w:tcPr>
          <w:p w14:paraId="42077FF8" w14:textId="77777777" w:rsidR="00435AA1" w:rsidRPr="002C5F62" w:rsidRDefault="00435AA1" w:rsidP="00435AA1">
            <w:pPr>
              <w:spacing w:after="0" w:line="240" w:lineRule="auto"/>
              <w:rPr>
                <w:rFonts w:asciiTheme="majorHAnsi" w:eastAsia="Times New Roman" w:hAnsiTheme="majorHAnsi" w:cs="Arial"/>
                <w:color w:val="auto"/>
              </w:rPr>
            </w:pPr>
            <w:r w:rsidRPr="002C5F62">
              <w:rPr>
                <w:rFonts w:asciiTheme="majorHAnsi" w:eastAsia="Times New Roman" w:hAnsiTheme="majorHAnsi" w:cs="Arial"/>
                <w:color w:val="auto"/>
              </w:rPr>
              <w:t>Heroin and Other Drugs (excluding fentanyl)</w:t>
            </w:r>
          </w:p>
        </w:tc>
        <w:tc>
          <w:tcPr>
            <w:tcW w:w="839" w:type="dxa"/>
            <w:shd w:val="clear" w:color="auto" w:fill="auto"/>
            <w:noWrap/>
            <w:vAlign w:val="center"/>
            <w:hideMark/>
          </w:tcPr>
          <w:p w14:paraId="34C51C72"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839" w:type="dxa"/>
            <w:shd w:val="clear" w:color="auto" w:fill="auto"/>
            <w:noWrap/>
            <w:vAlign w:val="center"/>
            <w:hideMark/>
          </w:tcPr>
          <w:p w14:paraId="08E1029B"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839" w:type="dxa"/>
            <w:shd w:val="clear" w:color="auto" w:fill="auto"/>
            <w:noWrap/>
            <w:vAlign w:val="center"/>
            <w:hideMark/>
          </w:tcPr>
          <w:p w14:paraId="3B2DA8D5"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903" w:type="dxa"/>
            <w:vAlign w:val="center"/>
          </w:tcPr>
          <w:p w14:paraId="61B2D9E1"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775" w:type="dxa"/>
            <w:vAlign w:val="center"/>
          </w:tcPr>
          <w:p w14:paraId="255D7929"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935" w:type="dxa"/>
            <w:vAlign w:val="center"/>
          </w:tcPr>
          <w:p w14:paraId="0DFDED5E"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r>
      <w:tr w:rsidR="00435AA1" w:rsidRPr="002C5F62" w14:paraId="093B6358" w14:textId="77777777" w:rsidTr="002C5F62">
        <w:trPr>
          <w:trHeight w:val="300"/>
        </w:trPr>
        <w:tc>
          <w:tcPr>
            <w:tcW w:w="4315" w:type="dxa"/>
            <w:shd w:val="clear" w:color="000000" w:fill="F2F2F2"/>
            <w:noWrap/>
            <w:vAlign w:val="center"/>
            <w:hideMark/>
          </w:tcPr>
          <w:p w14:paraId="370D8EC7" w14:textId="77777777" w:rsidR="00435AA1" w:rsidRPr="002C5F62" w:rsidRDefault="00435AA1" w:rsidP="00435AA1">
            <w:pPr>
              <w:spacing w:after="0" w:line="240" w:lineRule="auto"/>
              <w:rPr>
                <w:rFonts w:asciiTheme="majorHAnsi" w:eastAsia="Times New Roman" w:hAnsiTheme="majorHAnsi" w:cs="Arial"/>
                <w:color w:val="auto"/>
              </w:rPr>
            </w:pPr>
            <w:r w:rsidRPr="002C5F62">
              <w:rPr>
                <w:rFonts w:asciiTheme="majorHAnsi" w:eastAsia="Times New Roman" w:hAnsiTheme="majorHAnsi" w:cs="Arial"/>
                <w:color w:val="auto"/>
              </w:rPr>
              <w:t>Heroin and Fentanyl</w:t>
            </w:r>
          </w:p>
        </w:tc>
        <w:tc>
          <w:tcPr>
            <w:tcW w:w="839" w:type="dxa"/>
            <w:shd w:val="clear" w:color="000000" w:fill="F2F2F2"/>
            <w:noWrap/>
            <w:vAlign w:val="center"/>
            <w:hideMark/>
          </w:tcPr>
          <w:p w14:paraId="1E2B3D0A"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9</w:t>
            </w:r>
          </w:p>
        </w:tc>
        <w:tc>
          <w:tcPr>
            <w:tcW w:w="839" w:type="dxa"/>
            <w:shd w:val="clear" w:color="000000" w:fill="F2F2F2"/>
            <w:noWrap/>
            <w:vAlign w:val="center"/>
            <w:hideMark/>
          </w:tcPr>
          <w:p w14:paraId="7BD16CD0"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2</w:t>
            </w:r>
          </w:p>
        </w:tc>
        <w:tc>
          <w:tcPr>
            <w:tcW w:w="839" w:type="dxa"/>
            <w:shd w:val="clear" w:color="000000" w:fill="F2F2F2"/>
            <w:noWrap/>
            <w:vAlign w:val="center"/>
            <w:hideMark/>
          </w:tcPr>
          <w:p w14:paraId="2C487301"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2</w:t>
            </w:r>
          </w:p>
        </w:tc>
        <w:tc>
          <w:tcPr>
            <w:tcW w:w="903" w:type="dxa"/>
            <w:shd w:val="clear" w:color="000000" w:fill="F2F2F2"/>
            <w:vAlign w:val="center"/>
          </w:tcPr>
          <w:p w14:paraId="7270C88C"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775" w:type="dxa"/>
            <w:shd w:val="clear" w:color="000000" w:fill="F2F2F2"/>
            <w:vAlign w:val="center"/>
          </w:tcPr>
          <w:p w14:paraId="6BCAA53B"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935" w:type="dxa"/>
            <w:shd w:val="clear" w:color="000000" w:fill="F2F2F2"/>
            <w:vAlign w:val="center"/>
          </w:tcPr>
          <w:p w14:paraId="5831CABC"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r>
      <w:tr w:rsidR="00435AA1" w:rsidRPr="002C5F62" w14:paraId="36365760" w14:textId="77777777" w:rsidTr="002C5F62">
        <w:trPr>
          <w:trHeight w:val="300"/>
        </w:trPr>
        <w:tc>
          <w:tcPr>
            <w:tcW w:w="4315" w:type="dxa"/>
            <w:shd w:val="clear" w:color="auto" w:fill="auto"/>
            <w:noWrap/>
            <w:vAlign w:val="center"/>
            <w:hideMark/>
          </w:tcPr>
          <w:p w14:paraId="465EE0AA" w14:textId="77777777" w:rsidR="00435AA1" w:rsidRPr="002C5F62" w:rsidRDefault="00435AA1" w:rsidP="00435AA1">
            <w:pPr>
              <w:spacing w:after="0" w:line="240" w:lineRule="auto"/>
              <w:rPr>
                <w:rFonts w:asciiTheme="majorHAnsi" w:eastAsia="Times New Roman" w:hAnsiTheme="majorHAnsi" w:cs="Arial"/>
                <w:color w:val="auto"/>
              </w:rPr>
            </w:pPr>
            <w:r w:rsidRPr="002C5F62">
              <w:rPr>
                <w:rFonts w:asciiTheme="majorHAnsi" w:eastAsia="Times New Roman" w:hAnsiTheme="majorHAnsi" w:cs="Arial"/>
                <w:color w:val="auto"/>
              </w:rPr>
              <w:t>Unknown Opioids</w:t>
            </w:r>
          </w:p>
        </w:tc>
        <w:tc>
          <w:tcPr>
            <w:tcW w:w="839" w:type="dxa"/>
            <w:shd w:val="clear" w:color="auto" w:fill="auto"/>
            <w:noWrap/>
            <w:vAlign w:val="center"/>
            <w:hideMark/>
          </w:tcPr>
          <w:p w14:paraId="40DDAE5A"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1</w:t>
            </w:r>
          </w:p>
        </w:tc>
        <w:tc>
          <w:tcPr>
            <w:tcW w:w="839" w:type="dxa"/>
            <w:shd w:val="clear" w:color="auto" w:fill="auto"/>
            <w:noWrap/>
            <w:vAlign w:val="center"/>
            <w:hideMark/>
          </w:tcPr>
          <w:p w14:paraId="13768F4F"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839" w:type="dxa"/>
            <w:shd w:val="clear" w:color="auto" w:fill="auto"/>
            <w:noWrap/>
            <w:vAlign w:val="center"/>
            <w:hideMark/>
          </w:tcPr>
          <w:p w14:paraId="466490A8"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903" w:type="dxa"/>
            <w:vAlign w:val="center"/>
          </w:tcPr>
          <w:p w14:paraId="1B0E5766"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775" w:type="dxa"/>
            <w:vAlign w:val="center"/>
          </w:tcPr>
          <w:p w14:paraId="103B99C8"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935" w:type="dxa"/>
            <w:vAlign w:val="center"/>
          </w:tcPr>
          <w:p w14:paraId="59874A32"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r>
      <w:tr w:rsidR="00435AA1" w:rsidRPr="002C5F62" w14:paraId="5EAEF7CD" w14:textId="77777777" w:rsidTr="002C5F62">
        <w:trPr>
          <w:trHeight w:val="300"/>
        </w:trPr>
        <w:tc>
          <w:tcPr>
            <w:tcW w:w="4315" w:type="dxa"/>
            <w:shd w:val="clear" w:color="000000" w:fill="F2F2F2"/>
            <w:noWrap/>
            <w:vAlign w:val="center"/>
            <w:hideMark/>
          </w:tcPr>
          <w:p w14:paraId="5DC2D756" w14:textId="77777777" w:rsidR="00435AA1" w:rsidRPr="002C5F62" w:rsidRDefault="00435AA1" w:rsidP="00435AA1">
            <w:pPr>
              <w:spacing w:after="0" w:line="240" w:lineRule="auto"/>
              <w:rPr>
                <w:rFonts w:asciiTheme="majorHAnsi" w:eastAsia="Times New Roman" w:hAnsiTheme="majorHAnsi" w:cs="Arial"/>
                <w:color w:val="auto"/>
              </w:rPr>
            </w:pPr>
            <w:r w:rsidRPr="002C5F62">
              <w:rPr>
                <w:rFonts w:asciiTheme="majorHAnsi" w:eastAsia="Times New Roman" w:hAnsiTheme="majorHAnsi" w:cs="Arial"/>
                <w:color w:val="auto"/>
              </w:rPr>
              <w:t>Other Opiates/Opioids</w:t>
            </w:r>
          </w:p>
        </w:tc>
        <w:tc>
          <w:tcPr>
            <w:tcW w:w="839" w:type="dxa"/>
            <w:shd w:val="clear" w:color="000000" w:fill="F2F2F2"/>
            <w:noWrap/>
            <w:vAlign w:val="center"/>
            <w:hideMark/>
          </w:tcPr>
          <w:p w14:paraId="16CBF9CD"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7</w:t>
            </w:r>
          </w:p>
        </w:tc>
        <w:tc>
          <w:tcPr>
            <w:tcW w:w="839" w:type="dxa"/>
            <w:shd w:val="clear" w:color="000000" w:fill="F2F2F2"/>
            <w:noWrap/>
            <w:vAlign w:val="center"/>
            <w:hideMark/>
          </w:tcPr>
          <w:p w14:paraId="2A3AF51B"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1</w:t>
            </w:r>
          </w:p>
        </w:tc>
        <w:tc>
          <w:tcPr>
            <w:tcW w:w="839" w:type="dxa"/>
            <w:shd w:val="clear" w:color="000000" w:fill="F2F2F2"/>
            <w:noWrap/>
            <w:vAlign w:val="center"/>
            <w:hideMark/>
          </w:tcPr>
          <w:p w14:paraId="32D9D929"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3</w:t>
            </w:r>
          </w:p>
        </w:tc>
        <w:tc>
          <w:tcPr>
            <w:tcW w:w="903" w:type="dxa"/>
            <w:shd w:val="clear" w:color="000000" w:fill="F2F2F2"/>
            <w:vAlign w:val="center"/>
          </w:tcPr>
          <w:p w14:paraId="6A6CD741"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1</w:t>
            </w:r>
          </w:p>
        </w:tc>
        <w:tc>
          <w:tcPr>
            <w:tcW w:w="775" w:type="dxa"/>
            <w:shd w:val="clear" w:color="000000" w:fill="F2F2F2"/>
            <w:vAlign w:val="center"/>
          </w:tcPr>
          <w:p w14:paraId="6C8ABEE3"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935" w:type="dxa"/>
            <w:shd w:val="clear" w:color="000000" w:fill="F2F2F2"/>
            <w:vAlign w:val="center"/>
          </w:tcPr>
          <w:p w14:paraId="21CA0859"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1</w:t>
            </w:r>
          </w:p>
        </w:tc>
      </w:tr>
      <w:tr w:rsidR="00435AA1" w:rsidRPr="002C5F62" w14:paraId="0BC5DC1B" w14:textId="77777777" w:rsidTr="002C5F62">
        <w:trPr>
          <w:trHeight w:val="300"/>
        </w:trPr>
        <w:tc>
          <w:tcPr>
            <w:tcW w:w="4315" w:type="dxa"/>
            <w:shd w:val="clear" w:color="auto" w:fill="auto"/>
            <w:noWrap/>
            <w:vAlign w:val="center"/>
            <w:hideMark/>
          </w:tcPr>
          <w:p w14:paraId="79655986" w14:textId="77777777" w:rsidR="00435AA1" w:rsidRPr="002C5F62" w:rsidRDefault="00435AA1" w:rsidP="00435AA1">
            <w:pPr>
              <w:spacing w:after="0" w:line="240" w:lineRule="auto"/>
              <w:rPr>
                <w:rFonts w:asciiTheme="majorHAnsi" w:eastAsia="Times New Roman" w:hAnsiTheme="majorHAnsi" w:cs="Arial"/>
                <w:b/>
                <w:bCs/>
                <w:color w:val="auto"/>
              </w:rPr>
            </w:pPr>
            <w:r w:rsidRPr="002C5F62">
              <w:rPr>
                <w:rFonts w:asciiTheme="majorHAnsi" w:eastAsia="Times New Roman" w:hAnsiTheme="majorHAnsi" w:cs="Arial"/>
                <w:b/>
                <w:bCs/>
                <w:color w:val="auto"/>
              </w:rPr>
              <w:t>Total Deaths Caused By Opiates/Opioids</w:t>
            </w:r>
          </w:p>
        </w:tc>
        <w:tc>
          <w:tcPr>
            <w:tcW w:w="839" w:type="dxa"/>
            <w:shd w:val="clear" w:color="auto" w:fill="auto"/>
            <w:noWrap/>
            <w:vAlign w:val="center"/>
            <w:hideMark/>
          </w:tcPr>
          <w:p w14:paraId="402852A8" w14:textId="77777777" w:rsidR="00435AA1" w:rsidRPr="002C5F62" w:rsidRDefault="00435AA1" w:rsidP="00435AA1">
            <w:pPr>
              <w:spacing w:after="0" w:line="240" w:lineRule="auto"/>
              <w:jc w:val="right"/>
              <w:rPr>
                <w:rFonts w:asciiTheme="majorHAnsi" w:eastAsia="Times New Roman" w:hAnsiTheme="majorHAnsi" w:cs="Arial"/>
                <w:b/>
                <w:bCs/>
                <w:color w:val="auto"/>
              </w:rPr>
            </w:pPr>
            <w:r w:rsidRPr="002C5F62">
              <w:rPr>
                <w:rFonts w:asciiTheme="majorHAnsi" w:eastAsia="Times New Roman" w:hAnsiTheme="majorHAnsi" w:cs="Arial"/>
                <w:b/>
                <w:bCs/>
                <w:color w:val="auto"/>
              </w:rPr>
              <w:t>56</w:t>
            </w:r>
          </w:p>
        </w:tc>
        <w:tc>
          <w:tcPr>
            <w:tcW w:w="839" w:type="dxa"/>
            <w:shd w:val="clear" w:color="auto" w:fill="auto"/>
            <w:noWrap/>
            <w:vAlign w:val="center"/>
            <w:hideMark/>
          </w:tcPr>
          <w:p w14:paraId="65F7BCF0" w14:textId="77777777" w:rsidR="00435AA1" w:rsidRPr="002C5F62" w:rsidRDefault="00435AA1" w:rsidP="00435AA1">
            <w:pPr>
              <w:spacing w:after="0" w:line="240" w:lineRule="auto"/>
              <w:jc w:val="right"/>
              <w:rPr>
                <w:rFonts w:asciiTheme="majorHAnsi" w:eastAsia="Times New Roman" w:hAnsiTheme="majorHAnsi" w:cs="Arial"/>
                <w:b/>
                <w:bCs/>
                <w:color w:val="auto"/>
              </w:rPr>
            </w:pPr>
            <w:r w:rsidRPr="002C5F62">
              <w:rPr>
                <w:rFonts w:asciiTheme="majorHAnsi" w:eastAsia="Times New Roman" w:hAnsiTheme="majorHAnsi" w:cs="Arial"/>
                <w:b/>
                <w:bCs/>
                <w:color w:val="auto"/>
              </w:rPr>
              <w:t>46</w:t>
            </w:r>
          </w:p>
        </w:tc>
        <w:tc>
          <w:tcPr>
            <w:tcW w:w="839" w:type="dxa"/>
            <w:shd w:val="clear" w:color="auto" w:fill="auto"/>
            <w:noWrap/>
            <w:vAlign w:val="center"/>
            <w:hideMark/>
          </w:tcPr>
          <w:p w14:paraId="6C182F15" w14:textId="77777777" w:rsidR="00435AA1" w:rsidRPr="002C5F62" w:rsidRDefault="00435AA1" w:rsidP="00435AA1">
            <w:pPr>
              <w:spacing w:after="0" w:line="240" w:lineRule="auto"/>
              <w:jc w:val="right"/>
              <w:rPr>
                <w:rFonts w:asciiTheme="majorHAnsi" w:eastAsia="Times New Roman" w:hAnsiTheme="majorHAnsi" w:cs="Arial"/>
                <w:b/>
                <w:bCs/>
                <w:color w:val="auto"/>
              </w:rPr>
            </w:pPr>
            <w:r w:rsidRPr="002C5F62">
              <w:rPr>
                <w:rFonts w:asciiTheme="majorHAnsi" w:eastAsia="Times New Roman" w:hAnsiTheme="majorHAnsi" w:cs="Arial"/>
                <w:b/>
                <w:bCs/>
                <w:color w:val="auto"/>
              </w:rPr>
              <w:t>54</w:t>
            </w:r>
          </w:p>
        </w:tc>
        <w:tc>
          <w:tcPr>
            <w:tcW w:w="903" w:type="dxa"/>
            <w:vAlign w:val="center"/>
          </w:tcPr>
          <w:p w14:paraId="76D3280B" w14:textId="77777777" w:rsidR="00435AA1" w:rsidRPr="002C5F62" w:rsidRDefault="00435AA1" w:rsidP="00435AA1">
            <w:pPr>
              <w:spacing w:after="0" w:line="240" w:lineRule="auto"/>
              <w:jc w:val="right"/>
              <w:rPr>
                <w:rFonts w:asciiTheme="majorHAnsi" w:eastAsia="Times New Roman" w:hAnsiTheme="majorHAnsi" w:cs="Arial"/>
                <w:b/>
                <w:bCs/>
                <w:color w:val="auto"/>
              </w:rPr>
            </w:pPr>
            <w:r w:rsidRPr="002C5F62">
              <w:rPr>
                <w:rFonts w:asciiTheme="majorHAnsi" w:eastAsia="Times New Roman" w:hAnsiTheme="majorHAnsi" w:cs="Arial"/>
                <w:b/>
                <w:bCs/>
                <w:color w:val="auto"/>
              </w:rPr>
              <w:t>13</w:t>
            </w:r>
          </w:p>
        </w:tc>
        <w:tc>
          <w:tcPr>
            <w:tcW w:w="775" w:type="dxa"/>
            <w:vAlign w:val="center"/>
          </w:tcPr>
          <w:p w14:paraId="1DB43219" w14:textId="77777777" w:rsidR="00435AA1" w:rsidRPr="002C5F62" w:rsidRDefault="00435AA1" w:rsidP="00435AA1">
            <w:pPr>
              <w:spacing w:after="0" w:line="240" w:lineRule="auto"/>
              <w:jc w:val="right"/>
              <w:rPr>
                <w:rFonts w:asciiTheme="majorHAnsi" w:eastAsia="Times New Roman" w:hAnsiTheme="majorHAnsi" w:cs="Arial"/>
                <w:b/>
                <w:bCs/>
                <w:color w:val="auto"/>
              </w:rPr>
            </w:pPr>
            <w:r w:rsidRPr="002C5F62">
              <w:rPr>
                <w:rFonts w:asciiTheme="majorHAnsi" w:eastAsia="Times New Roman" w:hAnsiTheme="majorHAnsi" w:cs="Arial"/>
                <w:b/>
                <w:bCs/>
                <w:color w:val="auto"/>
              </w:rPr>
              <w:t>31</w:t>
            </w:r>
          </w:p>
        </w:tc>
        <w:tc>
          <w:tcPr>
            <w:tcW w:w="935" w:type="dxa"/>
            <w:vAlign w:val="center"/>
          </w:tcPr>
          <w:p w14:paraId="24F2A58D" w14:textId="77777777" w:rsidR="00435AA1" w:rsidRPr="002C5F62" w:rsidRDefault="00435AA1" w:rsidP="00435AA1">
            <w:pPr>
              <w:spacing w:after="0" w:line="240" w:lineRule="auto"/>
              <w:jc w:val="right"/>
              <w:rPr>
                <w:rFonts w:asciiTheme="majorHAnsi" w:eastAsia="Times New Roman" w:hAnsiTheme="majorHAnsi" w:cs="Arial"/>
                <w:b/>
                <w:bCs/>
                <w:color w:val="auto"/>
              </w:rPr>
            </w:pPr>
            <w:r w:rsidRPr="002C5F62">
              <w:rPr>
                <w:rFonts w:asciiTheme="majorHAnsi" w:eastAsia="Times New Roman" w:hAnsiTheme="majorHAnsi" w:cs="Arial"/>
                <w:b/>
                <w:bCs/>
                <w:color w:val="auto"/>
              </w:rPr>
              <w:t>15</w:t>
            </w:r>
          </w:p>
        </w:tc>
      </w:tr>
      <w:tr w:rsidR="00435AA1" w:rsidRPr="002C5F62" w14:paraId="10F6878D" w14:textId="77777777" w:rsidTr="002C5F62">
        <w:trPr>
          <w:trHeight w:val="300"/>
        </w:trPr>
        <w:tc>
          <w:tcPr>
            <w:tcW w:w="4315" w:type="dxa"/>
            <w:shd w:val="clear" w:color="000000" w:fill="F2F2F2"/>
            <w:noWrap/>
            <w:vAlign w:val="center"/>
            <w:hideMark/>
          </w:tcPr>
          <w:p w14:paraId="4099AF08" w14:textId="77777777" w:rsidR="00435AA1" w:rsidRPr="002C5F62" w:rsidRDefault="00435AA1" w:rsidP="00435AA1">
            <w:pPr>
              <w:spacing w:after="0" w:line="240" w:lineRule="auto"/>
              <w:rPr>
                <w:rFonts w:asciiTheme="majorHAnsi" w:eastAsia="Times New Roman" w:hAnsiTheme="majorHAnsi" w:cs="Arial"/>
                <w:color w:val="auto"/>
              </w:rPr>
            </w:pPr>
            <w:r w:rsidRPr="002C5F62">
              <w:rPr>
                <w:rFonts w:asciiTheme="majorHAnsi" w:eastAsia="Times New Roman" w:hAnsiTheme="majorHAnsi" w:cs="Arial"/>
                <w:color w:val="auto"/>
              </w:rPr>
              <w:t>Other Drugs</w:t>
            </w:r>
          </w:p>
        </w:tc>
        <w:tc>
          <w:tcPr>
            <w:tcW w:w="839" w:type="dxa"/>
            <w:shd w:val="clear" w:color="000000" w:fill="F2F2F2"/>
            <w:noWrap/>
            <w:vAlign w:val="center"/>
            <w:hideMark/>
          </w:tcPr>
          <w:p w14:paraId="62DC9AB9"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1</w:t>
            </w:r>
          </w:p>
        </w:tc>
        <w:tc>
          <w:tcPr>
            <w:tcW w:w="839" w:type="dxa"/>
            <w:shd w:val="clear" w:color="000000" w:fill="F2F2F2"/>
            <w:noWrap/>
            <w:vAlign w:val="center"/>
            <w:hideMark/>
          </w:tcPr>
          <w:p w14:paraId="44289CB9"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839" w:type="dxa"/>
            <w:shd w:val="clear" w:color="000000" w:fill="F2F2F2"/>
            <w:noWrap/>
            <w:vAlign w:val="center"/>
            <w:hideMark/>
          </w:tcPr>
          <w:p w14:paraId="6511462A"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1</w:t>
            </w:r>
          </w:p>
        </w:tc>
        <w:tc>
          <w:tcPr>
            <w:tcW w:w="903" w:type="dxa"/>
            <w:shd w:val="clear" w:color="000000" w:fill="F2F2F2"/>
            <w:vAlign w:val="center"/>
          </w:tcPr>
          <w:p w14:paraId="62BD94BE"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1</w:t>
            </w:r>
          </w:p>
        </w:tc>
        <w:tc>
          <w:tcPr>
            <w:tcW w:w="775" w:type="dxa"/>
            <w:shd w:val="clear" w:color="000000" w:fill="F2F2F2"/>
            <w:vAlign w:val="center"/>
          </w:tcPr>
          <w:p w14:paraId="1E0034E9"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935" w:type="dxa"/>
            <w:shd w:val="clear" w:color="000000" w:fill="F2F2F2"/>
            <w:vAlign w:val="center"/>
          </w:tcPr>
          <w:p w14:paraId="08FA9A1A"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4</w:t>
            </w:r>
          </w:p>
        </w:tc>
      </w:tr>
      <w:tr w:rsidR="00435AA1" w:rsidRPr="002C5F62" w14:paraId="244D47D6" w14:textId="77777777" w:rsidTr="002C5F62">
        <w:trPr>
          <w:trHeight w:val="300"/>
        </w:trPr>
        <w:tc>
          <w:tcPr>
            <w:tcW w:w="4315" w:type="dxa"/>
            <w:shd w:val="clear" w:color="auto" w:fill="auto"/>
            <w:noWrap/>
            <w:vAlign w:val="center"/>
            <w:hideMark/>
          </w:tcPr>
          <w:p w14:paraId="5CBAF739" w14:textId="77777777" w:rsidR="00435AA1" w:rsidRPr="002C5F62" w:rsidRDefault="00435AA1" w:rsidP="00435AA1">
            <w:pPr>
              <w:spacing w:after="0" w:line="240" w:lineRule="auto"/>
              <w:rPr>
                <w:rFonts w:asciiTheme="majorHAnsi" w:eastAsia="Times New Roman" w:hAnsiTheme="majorHAnsi" w:cs="Arial"/>
                <w:color w:val="auto"/>
              </w:rPr>
            </w:pPr>
            <w:r w:rsidRPr="002C5F62">
              <w:rPr>
                <w:rFonts w:asciiTheme="majorHAnsi" w:eastAsia="Times New Roman" w:hAnsiTheme="majorHAnsi" w:cs="Arial"/>
                <w:color w:val="auto"/>
              </w:rPr>
              <w:t>Unknown Drugs</w:t>
            </w:r>
          </w:p>
        </w:tc>
        <w:tc>
          <w:tcPr>
            <w:tcW w:w="839" w:type="dxa"/>
            <w:shd w:val="clear" w:color="auto" w:fill="auto"/>
            <w:noWrap/>
            <w:vAlign w:val="center"/>
            <w:hideMark/>
          </w:tcPr>
          <w:p w14:paraId="0BAB3F18"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839" w:type="dxa"/>
            <w:shd w:val="clear" w:color="auto" w:fill="auto"/>
            <w:noWrap/>
            <w:vAlign w:val="center"/>
            <w:hideMark/>
          </w:tcPr>
          <w:p w14:paraId="43A03916"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839" w:type="dxa"/>
            <w:shd w:val="clear" w:color="auto" w:fill="auto"/>
            <w:noWrap/>
            <w:vAlign w:val="center"/>
            <w:hideMark/>
          </w:tcPr>
          <w:p w14:paraId="74BAD1C3"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903" w:type="dxa"/>
            <w:vAlign w:val="center"/>
          </w:tcPr>
          <w:p w14:paraId="3E0E1EB3"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775" w:type="dxa"/>
            <w:vAlign w:val="center"/>
          </w:tcPr>
          <w:p w14:paraId="3EBC926B"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c>
          <w:tcPr>
            <w:tcW w:w="935" w:type="dxa"/>
            <w:vAlign w:val="center"/>
          </w:tcPr>
          <w:p w14:paraId="6349E118" w14:textId="77777777" w:rsidR="00435AA1" w:rsidRPr="002C5F62" w:rsidRDefault="00435AA1" w:rsidP="00435AA1">
            <w:pPr>
              <w:spacing w:after="0" w:line="240" w:lineRule="auto"/>
              <w:jc w:val="right"/>
              <w:rPr>
                <w:rFonts w:asciiTheme="majorHAnsi" w:eastAsia="Times New Roman" w:hAnsiTheme="majorHAnsi" w:cs="Arial"/>
                <w:color w:val="auto"/>
              </w:rPr>
            </w:pPr>
            <w:r w:rsidRPr="002C5F62">
              <w:rPr>
                <w:rFonts w:asciiTheme="majorHAnsi" w:eastAsia="Times New Roman" w:hAnsiTheme="majorHAnsi" w:cs="Arial"/>
                <w:color w:val="auto"/>
              </w:rPr>
              <w:t>0</w:t>
            </w:r>
          </w:p>
        </w:tc>
      </w:tr>
      <w:tr w:rsidR="00435AA1" w:rsidRPr="002C5F62" w14:paraId="15523BCD" w14:textId="77777777" w:rsidTr="002C5F62">
        <w:trPr>
          <w:trHeight w:val="315"/>
        </w:trPr>
        <w:tc>
          <w:tcPr>
            <w:tcW w:w="4315" w:type="dxa"/>
            <w:shd w:val="clear" w:color="000000" w:fill="F2F2F2"/>
            <w:noWrap/>
            <w:vAlign w:val="center"/>
            <w:hideMark/>
          </w:tcPr>
          <w:p w14:paraId="43C9A8B8" w14:textId="77777777" w:rsidR="00435AA1" w:rsidRPr="002C5F62" w:rsidRDefault="00435AA1" w:rsidP="00435AA1">
            <w:pPr>
              <w:spacing w:after="0" w:line="240" w:lineRule="auto"/>
              <w:rPr>
                <w:rFonts w:asciiTheme="majorHAnsi" w:eastAsia="Times New Roman" w:hAnsiTheme="majorHAnsi" w:cs="Arial"/>
                <w:b/>
                <w:bCs/>
                <w:color w:val="auto"/>
              </w:rPr>
            </w:pPr>
            <w:r w:rsidRPr="002C5F62">
              <w:rPr>
                <w:rFonts w:asciiTheme="majorHAnsi" w:eastAsia="Times New Roman" w:hAnsiTheme="majorHAnsi" w:cs="Arial"/>
                <w:b/>
                <w:bCs/>
                <w:color w:val="auto"/>
              </w:rPr>
              <w:t>Total Drug Deaths</w:t>
            </w:r>
          </w:p>
        </w:tc>
        <w:tc>
          <w:tcPr>
            <w:tcW w:w="839" w:type="dxa"/>
            <w:shd w:val="clear" w:color="000000" w:fill="F2F2F2"/>
            <w:noWrap/>
            <w:vAlign w:val="center"/>
            <w:hideMark/>
          </w:tcPr>
          <w:p w14:paraId="2A5A7BBA" w14:textId="77777777" w:rsidR="00435AA1" w:rsidRPr="002C5F62" w:rsidRDefault="00435AA1" w:rsidP="00435AA1">
            <w:pPr>
              <w:spacing w:after="0" w:line="240" w:lineRule="auto"/>
              <w:jc w:val="right"/>
              <w:rPr>
                <w:rFonts w:asciiTheme="majorHAnsi" w:eastAsia="Times New Roman" w:hAnsiTheme="majorHAnsi" w:cs="Arial"/>
                <w:b/>
                <w:bCs/>
                <w:color w:val="auto"/>
              </w:rPr>
            </w:pPr>
            <w:r w:rsidRPr="002C5F62">
              <w:rPr>
                <w:rFonts w:asciiTheme="majorHAnsi" w:eastAsia="Times New Roman" w:hAnsiTheme="majorHAnsi" w:cs="Arial"/>
                <w:b/>
                <w:bCs/>
                <w:color w:val="auto"/>
              </w:rPr>
              <w:t>57</w:t>
            </w:r>
          </w:p>
        </w:tc>
        <w:tc>
          <w:tcPr>
            <w:tcW w:w="839" w:type="dxa"/>
            <w:shd w:val="clear" w:color="000000" w:fill="F2F2F2"/>
            <w:noWrap/>
            <w:vAlign w:val="center"/>
            <w:hideMark/>
          </w:tcPr>
          <w:p w14:paraId="6C496316" w14:textId="77777777" w:rsidR="00435AA1" w:rsidRPr="002C5F62" w:rsidRDefault="00435AA1" w:rsidP="00435AA1">
            <w:pPr>
              <w:spacing w:after="0" w:line="240" w:lineRule="auto"/>
              <w:jc w:val="right"/>
              <w:rPr>
                <w:rFonts w:asciiTheme="majorHAnsi" w:eastAsia="Times New Roman" w:hAnsiTheme="majorHAnsi" w:cs="Arial"/>
                <w:b/>
                <w:bCs/>
                <w:color w:val="auto"/>
              </w:rPr>
            </w:pPr>
            <w:r w:rsidRPr="002C5F62">
              <w:rPr>
                <w:rFonts w:asciiTheme="majorHAnsi" w:eastAsia="Times New Roman" w:hAnsiTheme="majorHAnsi" w:cs="Arial"/>
                <w:b/>
                <w:bCs/>
                <w:color w:val="auto"/>
              </w:rPr>
              <w:t>46</w:t>
            </w:r>
          </w:p>
        </w:tc>
        <w:tc>
          <w:tcPr>
            <w:tcW w:w="839" w:type="dxa"/>
            <w:shd w:val="clear" w:color="000000" w:fill="F2F2F2"/>
            <w:noWrap/>
            <w:vAlign w:val="center"/>
            <w:hideMark/>
          </w:tcPr>
          <w:p w14:paraId="566B3EFF" w14:textId="77777777" w:rsidR="00435AA1" w:rsidRPr="002C5F62" w:rsidRDefault="00435AA1" w:rsidP="00435AA1">
            <w:pPr>
              <w:spacing w:after="0" w:line="240" w:lineRule="auto"/>
              <w:jc w:val="right"/>
              <w:rPr>
                <w:rFonts w:asciiTheme="majorHAnsi" w:eastAsia="Times New Roman" w:hAnsiTheme="majorHAnsi" w:cs="Arial"/>
                <w:b/>
                <w:bCs/>
                <w:color w:val="auto"/>
              </w:rPr>
            </w:pPr>
            <w:r w:rsidRPr="002C5F62">
              <w:rPr>
                <w:rFonts w:asciiTheme="majorHAnsi" w:eastAsia="Times New Roman" w:hAnsiTheme="majorHAnsi" w:cs="Arial"/>
                <w:b/>
                <w:bCs/>
                <w:color w:val="auto"/>
              </w:rPr>
              <w:t>55</w:t>
            </w:r>
          </w:p>
        </w:tc>
        <w:tc>
          <w:tcPr>
            <w:tcW w:w="903" w:type="dxa"/>
            <w:shd w:val="clear" w:color="000000" w:fill="F2F2F2"/>
            <w:vAlign w:val="center"/>
          </w:tcPr>
          <w:p w14:paraId="6B5CAE27" w14:textId="77777777" w:rsidR="00435AA1" w:rsidRPr="002C5F62" w:rsidRDefault="00435AA1" w:rsidP="00435AA1">
            <w:pPr>
              <w:spacing w:after="0" w:line="240" w:lineRule="auto"/>
              <w:jc w:val="right"/>
              <w:rPr>
                <w:rFonts w:asciiTheme="majorHAnsi" w:eastAsia="Times New Roman" w:hAnsiTheme="majorHAnsi" w:cs="Arial"/>
                <w:b/>
                <w:bCs/>
                <w:color w:val="auto"/>
              </w:rPr>
            </w:pPr>
            <w:r w:rsidRPr="002C5F62">
              <w:rPr>
                <w:rFonts w:asciiTheme="majorHAnsi" w:eastAsia="Times New Roman" w:hAnsiTheme="majorHAnsi" w:cs="Arial"/>
                <w:b/>
                <w:bCs/>
                <w:color w:val="auto"/>
              </w:rPr>
              <w:t>14</w:t>
            </w:r>
          </w:p>
        </w:tc>
        <w:tc>
          <w:tcPr>
            <w:tcW w:w="775" w:type="dxa"/>
            <w:shd w:val="clear" w:color="000000" w:fill="F2F2F2"/>
            <w:vAlign w:val="center"/>
          </w:tcPr>
          <w:p w14:paraId="5D91EF20" w14:textId="77777777" w:rsidR="00435AA1" w:rsidRPr="002C5F62" w:rsidRDefault="00435AA1" w:rsidP="00435AA1">
            <w:pPr>
              <w:spacing w:after="0" w:line="240" w:lineRule="auto"/>
              <w:jc w:val="right"/>
              <w:rPr>
                <w:rFonts w:asciiTheme="majorHAnsi" w:eastAsia="Times New Roman" w:hAnsiTheme="majorHAnsi" w:cs="Arial"/>
                <w:b/>
                <w:bCs/>
                <w:color w:val="auto"/>
              </w:rPr>
            </w:pPr>
            <w:r w:rsidRPr="002C5F62">
              <w:rPr>
                <w:rFonts w:asciiTheme="majorHAnsi" w:eastAsia="Times New Roman" w:hAnsiTheme="majorHAnsi" w:cs="Arial"/>
                <w:b/>
                <w:bCs/>
                <w:color w:val="auto"/>
              </w:rPr>
              <w:t>31</w:t>
            </w:r>
          </w:p>
        </w:tc>
        <w:tc>
          <w:tcPr>
            <w:tcW w:w="935" w:type="dxa"/>
            <w:shd w:val="clear" w:color="000000" w:fill="F2F2F2"/>
            <w:vAlign w:val="center"/>
          </w:tcPr>
          <w:p w14:paraId="428F7A43" w14:textId="77777777" w:rsidR="00435AA1" w:rsidRPr="002C5F62" w:rsidRDefault="00435AA1" w:rsidP="00E36E27">
            <w:pPr>
              <w:keepNext/>
              <w:spacing w:after="0" w:line="240" w:lineRule="auto"/>
              <w:jc w:val="right"/>
              <w:rPr>
                <w:rFonts w:asciiTheme="majorHAnsi" w:eastAsia="Times New Roman" w:hAnsiTheme="majorHAnsi" w:cs="Arial"/>
                <w:b/>
                <w:bCs/>
                <w:color w:val="auto"/>
              </w:rPr>
            </w:pPr>
            <w:r w:rsidRPr="002C5F62">
              <w:rPr>
                <w:rFonts w:asciiTheme="majorHAnsi" w:eastAsia="Times New Roman" w:hAnsiTheme="majorHAnsi" w:cs="Arial"/>
                <w:b/>
                <w:bCs/>
                <w:color w:val="auto"/>
              </w:rPr>
              <w:t>19</w:t>
            </w:r>
          </w:p>
        </w:tc>
      </w:tr>
    </w:tbl>
    <w:p w14:paraId="0ECCEAB0" w14:textId="77777777" w:rsidR="00435AA1" w:rsidRDefault="00435AA1" w:rsidP="00E36E27">
      <w:pPr>
        <w:pStyle w:val="FigureNumber"/>
        <w:numPr>
          <w:ilvl w:val="0"/>
          <w:numId w:val="0"/>
        </w:numPr>
        <w:spacing w:before="0" w:line="240" w:lineRule="auto"/>
      </w:pPr>
      <w:r>
        <w:t xml:space="preserve">Note: </w:t>
      </w:r>
      <w:r w:rsidRPr="00435AA1">
        <w:t xml:space="preserve">*Data collected through summer; </w:t>
      </w:r>
      <w:r w:rsidRPr="002C5F62">
        <w:rPr>
          <w:vertAlign w:val="superscript"/>
        </w:rPr>
        <w:t>†</w:t>
      </w:r>
      <w:r w:rsidRPr="00435AA1">
        <w:t>Data collected through 11/16/2020</w:t>
      </w:r>
    </w:p>
    <w:p w14:paraId="665412CA" w14:textId="77777777" w:rsidR="00883051" w:rsidRDefault="00883051" w:rsidP="00875EB2">
      <w:pPr>
        <w:pStyle w:val="FigureNumber"/>
        <w:numPr>
          <w:ilvl w:val="0"/>
          <w:numId w:val="0"/>
        </w:numPr>
        <w:spacing w:before="0"/>
      </w:pPr>
      <w:r w:rsidRPr="00883051">
        <w:t>Source: New Hampshire Office of the Chief Medical Examiner</w:t>
      </w:r>
    </w:p>
    <w:p w14:paraId="4261B9B5" w14:textId="77777777" w:rsidR="00F16251" w:rsidRDefault="00F16251" w:rsidP="007E1C46">
      <w:pPr>
        <w:pStyle w:val="Heading1"/>
        <w:pageBreakBefore/>
        <w:spacing w:before="100" w:after="100"/>
        <w:rPr>
          <w:rFonts w:eastAsia="Calibri"/>
        </w:rPr>
      </w:pPr>
      <w:bookmarkStart w:id="125" w:name="_Toc64988268"/>
      <w:r>
        <w:rPr>
          <w:rFonts w:eastAsia="Calibri"/>
        </w:rPr>
        <w:lastRenderedPageBreak/>
        <w:t>Discussion</w:t>
      </w:r>
      <w:bookmarkEnd w:id="125"/>
    </w:p>
    <w:p w14:paraId="3A1E24EE" w14:textId="7198FF36" w:rsidR="00414DAB" w:rsidRDefault="002535CE" w:rsidP="00875EB2">
      <w:r>
        <w:t xml:space="preserve">This report summarizes evaluation results for the Creating Connections NH project from the start of </w:t>
      </w:r>
      <w:r w:rsidRPr="002535CE">
        <w:rPr>
          <w:i/>
          <w:iCs/>
        </w:rPr>
        <w:t>The Seven Challenges</w:t>
      </w:r>
      <w:r>
        <w:t xml:space="preserve"> implementation in August 2019 through November 2020. The results indicate that the project has been successful in reaching out to the two priority populations of focus, that is, youth of color and LGBQ youth: </w:t>
      </w:r>
      <w:r w:rsidR="00414DAB">
        <w:t>T</w:t>
      </w:r>
      <w:r>
        <w:t xml:space="preserve">he representation of these groups among the youth who received services is higher than their representation in the state’s population within the comparable age range. </w:t>
      </w:r>
      <w:r w:rsidR="00414DAB">
        <w:t xml:space="preserve">Outcome analysis compared participating youth’s responses to the intake interview with their responses to the same questions at either 6-month follow-up or discharge, whichever was closest to six months following intake. The results show reductions in substance use behaviors and mental health symptoms and improvements in overall health, quality of life, and </w:t>
      </w:r>
      <w:r w:rsidR="00EC4B43">
        <w:t>social</w:t>
      </w:r>
      <w:r w:rsidR="00414DAB">
        <w:t xml:space="preserve"> relationships</w:t>
      </w:r>
      <w:r w:rsidR="00EC4B43">
        <w:t xml:space="preserve">. These results, although suggestive of program success, should not be viewed as conclusive due to the small number of youth for whom data were available. </w:t>
      </w:r>
      <w:r w:rsidR="00B14CC9">
        <w:t>Our confidence in outcome analysis results will increase a</w:t>
      </w:r>
      <w:r w:rsidR="00EC4B43">
        <w:t>s additional youth are enrolled in the program and further data become available</w:t>
      </w:r>
      <w:r w:rsidR="00B14CC9">
        <w:t>.</w:t>
      </w:r>
      <w:r w:rsidR="00EC4B43">
        <w:t xml:space="preserve"> </w:t>
      </w:r>
      <w:r w:rsidR="00B14CC9">
        <w:t xml:space="preserve"> </w:t>
      </w:r>
      <w:r w:rsidR="00EC4B43">
        <w:t xml:space="preserve"> </w:t>
      </w:r>
    </w:p>
    <w:p w14:paraId="317B7F93" w14:textId="77777777" w:rsidR="00875EB2" w:rsidRPr="00875EB2" w:rsidRDefault="00875EB2" w:rsidP="00875EB2"/>
    <w:sectPr w:rsidR="00875EB2" w:rsidRPr="00875EB2" w:rsidSect="00E36E27">
      <w:type w:val="continuous"/>
      <w:pgSz w:w="12240" w:h="15840"/>
      <w:pgMar w:top="99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CF43E0" w14:textId="77777777" w:rsidR="00173212" w:rsidRDefault="00173212" w:rsidP="009858D3">
      <w:pPr>
        <w:spacing w:after="0" w:line="240" w:lineRule="auto"/>
      </w:pPr>
      <w:r>
        <w:separator/>
      </w:r>
    </w:p>
  </w:endnote>
  <w:endnote w:type="continuationSeparator" w:id="0">
    <w:p w14:paraId="443AC9DB" w14:textId="77777777" w:rsidR="00173212" w:rsidRDefault="00173212" w:rsidP="00985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Merriweather">
    <w:altName w:val="Calibri"/>
    <w:charset w:val="00"/>
    <w:family w:val="auto"/>
    <w:pitch w:val="variable"/>
    <w:sig w:usb0="20000207" w:usb1="00000000" w:usb2="00000000" w:usb3="00000000" w:csb0="00000197" w:csb1="00000000"/>
  </w:font>
  <w:font w:name="SF Pro Text">
    <w:altName w:val="Cambria Math"/>
    <w:panose1 w:val="00000000000000000000"/>
    <w:charset w:val="00"/>
    <w:family w:val="modern"/>
    <w:notTrueType/>
    <w:pitch w:val="variable"/>
    <w:sig w:usb0="2000028F"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hAnsiTheme="majorHAnsi"/>
      </w:rPr>
      <w:id w:val="2057509660"/>
      <w:docPartObj>
        <w:docPartGallery w:val="Page Numbers (Bottom of Page)"/>
        <w:docPartUnique/>
      </w:docPartObj>
    </w:sdtPr>
    <w:sdtEndPr>
      <w:rPr>
        <w:noProof/>
        <w:sz w:val="20"/>
        <w:szCs w:val="20"/>
      </w:rPr>
    </w:sdtEndPr>
    <w:sdtContent>
      <w:p w14:paraId="22A342AE" w14:textId="4A1C30C4" w:rsidR="00173212" w:rsidRPr="0036137D" w:rsidRDefault="00173212" w:rsidP="007E1C46">
        <w:pPr>
          <w:pStyle w:val="Footer"/>
          <w:spacing w:before="360"/>
          <w:rPr>
            <w:rFonts w:asciiTheme="majorHAnsi" w:hAnsiTheme="majorHAnsi"/>
            <w:sz w:val="20"/>
            <w:szCs w:val="20"/>
          </w:rPr>
        </w:pPr>
        <w:r w:rsidRPr="0036137D">
          <w:rPr>
            <w:rFonts w:asciiTheme="majorHAnsi" w:hAnsiTheme="majorHAnsi"/>
            <w:sz w:val="20"/>
            <w:szCs w:val="20"/>
          </w:rPr>
          <w:t xml:space="preserve">NH SYT-I 2020 Evaluation Report – Last updated on </w:t>
        </w:r>
        <w:r>
          <w:rPr>
            <w:rFonts w:asciiTheme="majorHAnsi" w:hAnsiTheme="majorHAnsi"/>
            <w:sz w:val="20"/>
            <w:szCs w:val="20"/>
          </w:rPr>
          <w:t>February</w:t>
        </w:r>
        <w:r w:rsidRPr="0036137D">
          <w:rPr>
            <w:rFonts w:asciiTheme="majorHAnsi" w:hAnsiTheme="majorHAnsi"/>
            <w:sz w:val="20"/>
            <w:szCs w:val="20"/>
          </w:rPr>
          <w:t xml:space="preserve"> 2</w:t>
        </w:r>
        <w:r>
          <w:rPr>
            <w:rFonts w:asciiTheme="majorHAnsi" w:hAnsiTheme="majorHAnsi"/>
            <w:sz w:val="20"/>
            <w:szCs w:val="20"/>
          </w:rPr>
          <w:t>3</w:t>
        </w:r>
        <w:r w:rsidRPr="0036137D">
          <w:rPr>
            <w:rFonts w:asciiTheme="majorHAnsi" w:hAnsiTheme="majorHAnsi"/>
            <w:sz w:val="20"/>
            <w:szCs w:val="20"/>
          </w:rPr>
          <w:t>, 2021</w:t>
        </w:r>
        <w:r w:rsidRPr="0036137D">
          <w:rPr>
            <w:rFonts w:asciiTheme="majorHAnsi" w:hAnsiTheme="majorHAnsi"/>
            <w:sz w:val="20"/>
            <w:szCs w:val="20"/>
          </w:rPr>
          <w:tab/>
        </w:r>
        <w:r w:rsidRPr="0036137D">
          <w:rPr>
            <w:rFonts w:asciiTheme="majorHAnsi" w:hAnsiTheme="majorHAnsi"/>
            <w:sz w:val="20"/>
            <w:szCs w:val="20"/>
          </w:rPr>
          <w:fldChar w:fldCharType="begin"/>
        </w:r>
        <w:r w:rsidRPr="0036137D">
          <w:rPr>
            <w:rFonts w:asciiTheme="majorHAnsi" w:hAnsiTheme="majorHAnsi"/>
            <w:sz w:val="20"/>
            <w:szCs w:val="20"/>
          </w:rPr>
          <w:instrText xml:space="preserve"> PAGE  \* Arabic  \* MERGEFORMAT </w:instrText>
        </w:r>
        <w:r w:rsidRPr="0036137D">
          <w:rPr>
            <w:rFonts w:asciiTheme="majorHAnsi" w:hAnsiTheme="majorHAnsi"/>
            <w:sz w:val="20"/>
            <w:szCs w:val="20"/>
          </w:rPr>
          <w:fldChar w:fldCharType="separate"/>
        </w:r>
        <w:r w:rsidRPr="0036137D">
          <w:rPr>
            <w:rFonts w:asciiTheme="majorHAnsi" w:hAnsiTheme="majorHAnsi"/>
            <w:noProof/>
            <w:sz w:val="20"/>
            <w:szCs w:val="20"/>
          </w:rPr>
          <w:t>25</w:t>
        </w:r>
        <w:r w:rsidRPr="0036137D">
          <w:rPr>
            <w:rFonts w:asciiTheme="majorHAnsi" w:hAnsiTheme="majorHAnsi"/>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949F95" w14:textId="77777777" w:rsidR="00173212" w:rsidRDefault="00173212" w:rsidP="009858D3">
      <w:pPr>
        <w:spacing w:after="0" w:line="240" w:lineRule="auto"/>
      </w:pPr>
      <w:r>
        <w:separator/>
      </w:r>
    </w:p>
  </w:footnote>
  <w:footnote w:type="continuationSeparator" w:id="0">
    <w:p w14:paraId="737C9CA6" w14:textId="77777777" w:rsidR="00173212" w:rsidRDefault="00173212" w:rsidP="009858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9440B"/>
    <w:multiLevelType w:val="hybridMultilevel"/>
    <w:tmpl w:val="2FC4E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77856"/>
    <w:multiLevelType w:val="hybridMultilevel"/>
    <w:tmpl w:val="8B7A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D1CA2"/>
    <w:multiLevelType w:val="hybridMultilevel"/>
    <w:tmpl w:val="36FA7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672F7"/>
    <w:multiLevelType w:val="hybridMultilevel"/>
    <w:tmpl w:val="746A69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97C92"/>
    <w:multiLevelType w:val="hybridMultilevel"/>
    <w:tmpl w:val="89867CF0"/>
    <w:lvl w:ilvl="0" w:tplc="AB0EE0DA">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164B6E8" w:tentative="1">
      <w:start w:val="1"/>
      <w:numFmt w:val="bullet"/>
      <w:lvlText w:val="•"/>
      <w:lvlJc w:val="left"/>
      <w:pPr>
        <w:tabs>
          <w:tab w:val="num" w:pos="2160"/>
        </w:tabs>
        <w:ind w:left="2160" w:hanging="360"/>
      </w:pPr>
      <w:rPr>
        <w:rFonts w:ascii="Arial" w:hAnsi="Arial" w:hint="default"/>
      </w:rPr>
    </w:lvl>
    <w:lvl w:ilvl="3" w:tplc="59E63066" w:tentative="1">
      <w:start w:val="1"/>
      <w:numFmt w:val="bullet"/>
      <w:lvlText w:val="•"/>
      <w:lvlJc w:val="left"/>
      <w:pPr>
        <w:tabs>
          <w:tab w:val="num" w:pos="2880"/>
        </w:tabs>
        <w:ind w:left="2880" w:hanging="360"/>
      </w:pPr>
      <w:rPr>
        <w:rFonts w:ascii="Arial" w:hAnsi="Arial" w:hint="default"/>
      </w:rPr>
    </w:lvl>
    <w:lvl w:ilvl="4" w:tplc="299E1C84" w:tentative="1">
      <w:start w:val="1"/>
      <w:numFmt w:val="bullet"/>
      <w:lvlText w:val="•"/>
      <w:lvlJc w:val="left"/>
      <w:pPr>
        <w:tabs>
          <w:tab w:val="num" w:pos="3600"/>
        </w:tabs>
        <w:ind w:left="3600" w:hanging="360"/>
      </w:pPr>
      <w:rPr>
        <w:rFonts w:ascii="Arial" w:hAnsi="Arial" w:hint="default"/>
      </w:rPr>
    </w:lvl>
    <w:lvl w:ilvl="5" w:tplc="3B4EAB70" w:tentative="1">
      <w:start w:val="1"/>
      <w:numFmt w:val="bullet"/>
      <w:lvlText w:val="•"/>
      <w:lvlJc w:val="left"/>
      <w:pPr>
        <w:tabs>
          <w:tab w:val="num" w:pos="4320"/>
        </w:tabs>
        <w:ind w:left="4320" w:hanging="360"/>
      </w:pPr>
      <w:rPr>
        <w:rFonts w:ascii="Arial" w:hAnsi="Arial" w:hint="default"/>
      </w:rPr>
    </w:lvl>
    <w:lvl w:ilvl="6" w:tplc="951E2FEA" w:tentative="1">
      <w:start w:val="1"/>
      <w:numFmt w:val="bullet"/>
      <w:lvlText w:val="•"/>
      <w:lvlJc w:val="left"/>
      <w:pPr>
        <w:tabs>
          <w:tab w:val="num" w:pos="5040"/>
        </w:tabs>
        <w:ind w:left="5040" w:hanging="360"/>
      </w:pPr>
      <w:rPr>
        <w:rFonts w:ascii="Arial" w:hAnsi="Arial" w:hint="default"/>
      </w:rPr>
    </w:lvl>
    <w:lvl w:ilvl="7" w:tplc="75EEC1FA" w:tentative="1">
      <w:start w:val="1"/>
      <w:numFmt w:val="bullet"/>
      <w:lvlText w:val="•"/>
      <w:lvlJc w:val="left"/>
      <w:pPr>
        <w:tabs>
          <w:tab w:val="num" w:pos="5760"/>
        </w:tabs>
        <w:ind w:left="5760" w:hanging="360"/>
      </w:pPr>
      <w:rPr>
        <w:rFonts w:ascii="Arial" w:hAnsi="Arial" w:hint="default"/>
      </w:rPr>
    </w:lvl>
    <w:lvl w:ilvl="8" w:tplc="40CC4F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390A6D"/>
    <w:multiLevelType w:val="hybridMultilevel"/>
    <w:tmpl w:val="66646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570713"/>
    <w:multiLevelType w:val="hybridMultilevel"/>
    <w:tmpl w:val="0488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373B6"/>
    <w:multiLevelType w:val="hybridMultilevel"/>
    <w:tmpl w:val="1A4E7768"/>
    <w:lvl w:ilvl="0" w:tplc="5FA6C156">
      <w:start w:val="1"/>
      <w:numFmt w:val="decimal"/>
      <w:pStyle w:val="FigureNumber"/>
      <w:lvlText w:val="Figure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2F00AB"/>
    <w:multiLevelType w:val="hybridMultilevel"/>
    <w:tmpl w:val="A3160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C62489"/>
    <w:multiLevelType w:val="hybridMultilevel"/>
    <w:tmpl w:val="CD96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527B18"/>
    <w:multiLevelType w:val="hybridMultilevel"/>
    <w:tmpl w:val="3AD2E668"/>
    <w:lvl w:ilvl="0" w:tplc="0409000B">
      <w:start w:val="1"/>
      <w:numFmt w:val="bullet"/>
      <w:lvlText w:val=""/>
      <w:lvlJc w:val="left"/>
      <w:pPr>
        <w:tabs>
          <w:tab w:val="num" w:pos="720"/>
        </w:tabs>
        <w:ind w:left="720" w:hanging="360"/>
      </w:pPr>
      <w:rPr>
        <w:rFonts w:ascii="Wingdings" w:hAnsi="Wingdings" w:hint="default"/>
      </w:rPr>
    </w:lvl>
    <w:lvl w:ilvl="1" w:tplc="BEB4B5B0">
      <w:start w:val="146"/>
      <w:numFmt w:val="bullet"/>
      <w:lvlText w:val="•"/>
      <w:lvlJc w:val="left"/>
      <w:pPr>
        <w:tabs>
          <w:tab w:val="num" w:pos="1440"/>
        </w:tabs>
        <w:ind w:left="1440" w:hanging="360"/>
      </w:pPr>
      <w:rPr>
        <w:rFonts w:ascii="Arial" w:hAnsi="Arial" w:hint="default"/>
      </w:rPr>
    </w:lvl>
    <w:lvl w:ilvl="2" w:tplc="B164B6E8" w:tentative="1">
      <w:start w:val="1"/>
      <w:numFmt w:val="bullet"/>
      <w:lvlText w:val="•"/>
      <w:lvlJc w:val="left"/>
      <w:pPr>
        <w:tabs>
          <w:tab w:val="num" w:pos="2160"/>
        </w:tabs>
        <w:ind w:left="2160" w:hanging="360"/>
      </w:pPr>
      <w:rPr>
        <w:rFonts w:ascii="Arial" w:hAnsi="Arial" w:hint="default"/>
      </w:rPr>
    </w:lvl>
    <w:lvl w:ilvl="3" w:tplc="59E63066" w:tentative="1">
      <w:start w:val="1"/>
      <w:numFmt w:val="bullet"/>
      <w:lvlText w:val="•"/>
      <w:lvlJc w:val="left"/>
      <w:pPr>
        <w:tabs>
          <w:tab w:val="num" w:pos="2880"/>
        </w:tabs>
        <w:ind w:left="2880" w:hanging="360"/>
      </w:pPr>
      <w:rPr>
        <w:rFonts w:ascii="Arial" w:hAnsi="Arial" w:hint="default"/>
      </w:rPr>
    </w:lvl>
    <w:lvl w:ilvl="4" w:tplc="299E1C84" w:tentative="1">
      <w:start w:val="1"/>
      <w:numFmt w:val="bullet"/>
      <w:lvlText w:val="•"/>
      <w:lvlJc w:val="left"/>
      <w:pPr>
        <w:tabs>
          <w:tab w:val="num" w:pos="3600"/>
        </w:tabs>
        <w:ind w:left="3600" w:hanging="360"/>
      </w:pPr>
      <w:rPr>
        <w:rFonts w:ascii="Arial" w:hAnsi="Arial" w:hint="default"/>
      </w:rPr>
    </w:lvl>
    <w:lvl w:ilvl="5" w:tplc="3B4EAB70" w:tentative="1">
      <w:start w:val="1"/>
      <w:numFmt w:val="bullet"/>
      <w:lvlText w:val="•"/>
      <w:lvlJc w:val="left"/>
      <w:pPr>
        <w:tabs>
          <w:tab w:val="num" w:pos="4320"/>
        </w:tabs>
        <w:ind w:left="4320" w:hanging="360"/>
      </w:pPr>
      <w:rPr>
        <w:rFonts w:ascii="Arial" w:hAnsi="Arial" w:hint="default"/>
      </w:rPr>
    </w:lvl>
    <w:lvl w:ilvl="6" w:tplc="951E2FEA" w:tentative="1">
      <w:start w:val="1"/>
      <w:numFmt w:val="bullet"/>
      <w:lvlText w:val="•"/>
      <w:lvlJc w:val="left"/>
      <w:pPr>
        <w:tabs>
          <w:tab w:val="num" w:pos="5040"/>
        </w:tabs>
        <w:ind w:left="5040" w:hanging="360"/>
      </w:pPr>
      <w:rPr>
        <w:rFonts w:ascii="Arial" w:hAnsi="Arial" w:hint="default"/>
      </w:rPr>
    </w:lvl>
    <w:lvl w:ilvl="7" w:tplc="75EEC1FA" w:tentative="1">
      <w:start w:val="1"/>
      <w:numFmt w:val="bullet"/>
      <w:lvlText w:val="•"/>
      <w:lvlJc w:val="left"/>
      <w:pPr>
        <w:tabs>
          <w:tab w:val="num" w:pos="5760"/>
        </w:tabs>
        <w:ind w:left="5760" w:hanging="360"/>
      </w:pPr>
      <w:rPr>
        <w:rFonts w:ascii="Arial" w:hAnsi="Arial" w:hint="default"/>
      </w:rPr>
    </w:lvl>
    <w:lvl w:ilvl="8" w:tplc="40CC4F9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E334629"/>
    <w:multiLevelType w:val="hybridMultilevel"/>
    <w:tmpl w:val="8B129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4332F2"/>
    <w:multiLevelType w:val="hybridMultilevel"/>
    <w:tmpl w:val="376A3F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A71C97"/>
    <w:multiLevelType w:val="hybridMultilevel"/>
    <w:tmpl w:val="0AF25D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07532"/>
    <w:multiLevelType w:val="hybridMultilevel"/>
    <w:tmpl w:val="8012AC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64281287"/>
    <w:multiLevelType w:val="hybridMultilevel"/>
    <w:tmpl w:val="EF426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D87996"/>
    <w:multiLevelType w:val="hybridMultilevel"/>
    <w:tmpl w:val="8D9E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53688C"/>
    <w:multiLevelType w:val="hybridMultilevel"/>
    <w:tmpl w:val="3C225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F62C41"/>
    <w:multiLevelType w:val="hybridMultilevel"/>
    <w:tmpl w:val="E13E8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FA7510"/>
    <w:multiLevelType w:val="hybridMultilevel"/>
    <w:tmpl w:val="9250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4"/>
  </w:num>
  <w:num w:numId="4">
    <w:abstractNumId w:val="2"/>
  </w:num>
  <w:num w:numId="5">
    <w:abstractNumId w:val="13"/>
  </w:num>
  <w:num w:numId="6">
    <w:abstractNumId w:val="12"/>
  </w:num>
  <w:num w:numId="7">
    <w:abstractNumId w:val="3"/>
  </w:num>
  <w:num w:numId="8">
    <w:abstractNumId w:val="9"/>
  </w:num>
  <w:num w:numId="9">
    <w:abstractNumId w:val="8"/>
  </w:num>
  <w:num w:numId="10">
    <w:abstractNumId w:val="15"/>
  </w:num>
  <w:num w:numId="11">
    <w:abstractNumId w:val="1"/>
  </w:num>
  <w:num w:numId="12">
    <w:abstractNumId w:val="5"/>
  </w:num>
  <w:num w:numId="13">
    <w:abstractNumId w:val="6"/>
  </w:num>
  <w:num w:numId="14">
    <w:abstractNumId w:val="0"/>
  </w:num>
  <w:num w:numId="15">
    <w:abstractNumId w:val="16"/>
  </w:num>
  <w:num w:numId="16">
    <w:abstractNumId w:val="14"/>
  </w:num>
  <w:num w:numId="17">
    <w:abstractNumId w:val="11"/>
  </w:num>
  <w:num w:numId="18">
    <w:abstractNumId w:val="7"/>
  </w:num>
  <w:num w:numId="19">
    <w:abstractNumId w:val="19"/>
  </w:num>
  <w:num w:numId="20">
    <w:abstractNumId w:val="17"/>
  </w:num>
  <w:num w:numId="21">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94E"/>
    <w:rsid w:val="00001AD0"/>
    <w:rsid w:val="00003519"/>
    <w:rsid w:val="00003678"/>
    <w:rsid w:val="000036E4"/>
    <w:rsid w:val="0000450C"/>
    <w:rsid w:val="00004FA5"/>
    <w:rsid w:val="00007C3C"/>
    <w:rsid w:val="00014290"/>
    <w:rsid w:val="000146F6"/>
    <w:rsid w:val="000147F1"/>
    <w:rsid w:val="00015F40"/>
    <w:rsid w:val="0001607F"/>
    <w:rsid w:val="0002234B"/>
    <w:rsid w:val="000223BF"/>
    <w:rsid w:val="00023DD8"/>
    <w:rsid w:val="000277E4"/>
    <w:rsid w:val="00027849"/>
    <w:rsid w:val="0002789C"/>
    <w:rsid w:val="00030567"/>
    <w:rsid w:val="000329A5"/>
    <w:rsid w:val="00033285"/>
    <w:rsid w:val="00033726"/>
    <w:rsid w:val="000338C7"/>
    <w:rsid w:val="000340B1"/>
    <w:rsid w:val="00036A2E"/>
    <w:rsid w:val="00037AE7"/>
    <w:rsid w:val="00037F92"/>
    <w:rsid w:val="000428C1"/>
    <w:rsid w:val="00043E29"/>
    <w:rsid w:val="0004415D"/>
    <w:rsid w:val="00044B46"/>
    <w:rsid w:val="00044D4D"/>
    <w:rsid w:val="00051FD2"/>
    <w:rsid w:val="00054438"/>
    <w:rsid w:val="00056C6C"/>
    <w:rsid w:val="00063B07"/>
    <w:rsid w:val="00064C3F"/>
    <w:rsid w:val="00066A01"/>
    <w:rsid w:val="000708F3"/>
    <w:rsid w:val="00070EA2"/>
    <w:rsid w:val="000724D2"/>
    <w:rsid w:val="00072991"/>
    <w:rsid w:val="00072BBA"/>
    <w:rsid w:val="00072C04"/>
    <w:rsid w:val="00073D84"/>
    <w:rsid w:val="00076BC2"/>
    <w:rsid w:val="00081FED"/>
    <w:rsid w:val="00082912"/>
    <w:rsid w:val="00083F93"/>
    <w:rsid w:val="00085A76"/>
    <w:rsid w:val="00085EA2"/>
    <w:rsid w:val="000860B9"/>
    <w:rsid w:val="000879DE"/>
    <w:rsid w:val="00087B58"/>
    <w:rsid w:val="00090131"/>
    <w:rsid w:val="00090D57"/>
    <w:rsid w:val="00092D26"/>
    <w:rsid w:val="00094DA9"/>
    <w:rsid w:val="00095BC4"/>
    <w:rsid w:val="000A4B3A"/>
    <w:rsid w:val="000A4DF2"/>
    <w:rsid w:val="000A5034"/>
    <w:rsid w:val="000A52F2"/>
    <w:rsid w:val="000A650F"/>
    <w:rsid w:val="000A6D2D"/>
    <w:rsid w:val="000A6EA0"/>
    <w:rsid w:val="000A750C"/>
    <w:rsid w:val="000A7A01"/>
    <w:rsid w:val="000A7CC9"/>
    <w:rsid w:val="000B111D"/>
    <w:rsid w:val="000B1D7A"/>
    <w:rsid w:val="000B26BC"/>
    <w:rsid w:val="000B4952"/>
    <w:rsid w:val="000B54CB"/>
    <w:rsid w:val="000B5E5D"/>
    <w:rsid w:val="000C1B9B"/>
    <w:rsid w:val="000C4044"/>
    <w:rsid w:val="000C55B4"/>
    <w:rsid w:val="000C5E1F"/>
    <w:rsid w:val="000C609C"/>
    <w:rsid w:val="000C63F9"/>
    <w:rsid w:val="000C6794"/>
    <w:rsid w:val="000C7329"/>
    <w:rsid w:val="000D11CD"/>
    <w:rsid w:val="000D1395"/>
    <w:rsid w:val="000D5612"/>
    <w:rsid w:val="000D6485"/>
    <w:rsid w:val="000D6E49"/>
    <w:rsid w:val="000D7D71"/>
    <w:rsid w:val="000D7EC0"/>
    <w:rsid w:val="000E00AC"/>
    <w:rsid w:val="000E13AE"/>
    <w:rsid w:val="000E295E"/>
    <w:rsid w:val="000E4056"/>
    <w:rsid w:val="000E541B"/>
    <w:rsid w:val="000E7014"/>
    <w:rsid w:val="000F1F4A"/>
    <w:rsid w:val="000F2D3A"/>
    <w:rsid w:val="000F3795"/>
    <w:rsid w:val="000F5062"/>
    <w:rsid w:val="000F78FA"/>
    <w:rsid w:val="0010017E"/>
    <w:rsid w:val="00101485"/>
    <w:rsid w:val="0010330D"/>
    <w:rsid w:val="001034CE"/>
    <w:rsid w:val="00104CC4"/>
    <w:rsid w:val="00105942"/>
    <w:rsid w:val="001065A2"/>
    <w:rsid w:val="00106E4C"/>
    <w:rsid w:val="001079C8"/>
    <w:rsid w:val="00110042"/>
    <w:rsid w:val="0011171B"/>
    <w:rsid w:val="00111EE5"/>
    <w:rsid w:val="00112218"/>
    <w:rsid w:val="00114A49"/>
    <w:rsid w:val="00114E66"/>
    <w:rsid w:val="001153C2"/>
    <w:rsid w:val="00115408"/>
    <w:rsid w:val="001158E8"/>
    <w:rsid w:val="00115FB5"/>
    <w:rsid w:val="0011680F"/>
    <w:rsid w:val="00120409"/>
    <w:rsid w:val="00120572"/>
    <w:rsid w:val="00121804"/>
    <w:rsid w:val="001277EC"/>
    <w:rsid w:val="001311FD"/>
    <w:rsid w:val="0013212F"/>
    <w:rsid w:val="001342C4"/>
    <w:rsid w:val="00135C00"/>
    <w:rsid w:val="00135CDE"/>
    <w:rsid w:val="001366DB"/>
    <w:rsid w:val="00137A7B"/>
    <w:rsid w:val="00137E1F"/>
    <w:rsid w:val="00140D9B"/>
    <w:rsid w:val="001413E6"/>
    <w:rsid w:val="001439A3"/>
    <w:rsid w:val="00143DE1"/>
    <w:rsid w:val="00144A39"/>
    <w:rsid w:val="00144C8D"/>
    <w:rsid w:val="00146C3D"/>
    <w:rsid w:val="00150D1B"/>
    <w:rsid w:val="001514B5"/>
    <w:rsid w:val="001517F6"/>
    <w:rsid w:val="00151AF1"/>
    <w:rsid w:val="00154811"/>
    <w:rsid w:val="0015719E"/>
    <w:rsid w:val="0015780D"/>
    <w:rsid w:val="00160C0B"/>
    <w:rsid w:val="0016227A"/>
    <w:rsid w:val="00164CDB"/>
    <w:rsid w:val="00167B60"/>
    <w:rsid w:val="001728BF"/>
    <w:rsid w:val="00173212"/>
    <w:rsid w:val="0017339A"/>
    <w:rsid w:val="00176A75"/>
    <w:rsid w:val="00177E96"/>
    <w:rsid w:val="00180AF0"/>
    <w:rsid w:val="001812C5"/>
    <w:rsid w:val="0018358B"/>
    <w:rsid w:val="0018510F"/>
    <w:rsid w:val="001854EE"/>
    <w:rsid w:val="00185860"/>
    <w:rsid w:val="00186A82"/>
    <w:rsid w:val="001872BE"/>
    <w:rsid w:val="00187621"/>
    <w:rsid w:val="00187711"/>
    <w:rsid w:val="0019134E"/>
    <w:rsid w:val="00191B93"/>
    <w:rsid w:val="00191D7E"/>
    <w:rsid w:val="00191E60"/>
    <w:rsid w:val="00191F35"/>
    <w:rsid w:val="00192CF6"/>
    <w:rsid w:val="0019334A"/>
    <w:rsid w:val="001946BB"/>
    <w:rsid w:val="00195680"/>
    <w:rsid w:val="00195FEC"/>
    <w:rsid w:val="00196B9C"/>
    <w:rsid w:val="00196E81"/>
    <w:rsid w:val="001A026A"/>
    <w:rsid w:val="001A0485"/>
    <w:rsid w:val="001A05B8"/>
    <w:rsid w:val="001A0D61"/>
    <w:rsid w:val="001A1008"/>
    <w:rsid w:val="001A46CC"/>
    <w:rsid w:val="001A6272"/>
    <w:rsid w:val="001A7B05"/>
    <w:rsid w:val="001A7E4D"/>
    <w:rsid w:val="001A7FFB"/>
    <w:rsid w:val="001B09EB"/>
    <w:rsid w:val="001B1689"/>
    <w:rsid w:val="001B310C"/>
    <w:rsid w:val="001B4298"/>
    <w:rsid w:val="001B55AE"/>
    <w:rsid w:val="001B5AF1"/>
    <w:rsid w:val="001C032C"/>
    <w:rsid w:val="001C24B0"/>
    <w:rsid w:val="001C3BAC"/>
    <w:rsid w:val="001C430C"/>
    <w:rsid w:val="001C48FC"/>
    <w:rsid w:val="001C5937"/>
    <w:rsid w:val="001C6853"/>
    <w:rsid w:val="001C73F7"/>
    <w:rsid w:val="001D1A0E"/>
    <w:rsid w:val="001D2CBF"/>
    <w:rsid w:val="001D38BC"/>
    <w:rsid w:val="001D441C"/>
    <w:rsid w:val="001D4536"/>
    <w:rsid w:val="001D7CD7"/>
    <w:rsid w:val="001D7DAD"/>
    <w:rsid w:val="001E0290"/>
    <w:rsid w:val="001E148A"/>
    <w:rsid w:val="001E1561"/>
    <w:rsid w:val="001E298D"/>
    <w:rsid w:val="001E2A2B"/>
    <w:rsid w:val="001E3213"/>
    <w:rsid w:val="001E3DF4"/>
    <w:rsid w:val="001E3F1E"/>
    <w:rsid w:val="001E5A30"/>
    <w:rsid w:val="001E61B2"/>
    <w:rsid w:val="001F05A7"/>
    <w:rsid w:val="001F748A"/>
    <w:rsid w:val="001F7FF3"/>
    <w:rsid w:val="00202AC7"/>
    <w:rsid w:val="0020311A"/>
    <w:rsid w:val="0020482E"/>
    <w:rsid w:val="00206CEF"/>
    <w:rsid w:val="002104BA"/>
    <w:rsid w:val="002115BB"/>
    <w:rsid w:val="00212540"/>
    <w:rsid w:val="00213C6C"/>
    <w:rsid w:val="002144F9"/>
    <w:rsid w:val="002159BF"/>
    <w:rsid w:val="00215E1D"/>
    <w:rsid w:val="002205C7"/>
    <w:rsid w:val="002237C8"/>
    <w:rsid w:val="00224AB2"/>
    <w:rsid w:val="00225C6B"/>
    <w:rsid w:val="002274A4"/>
    <w:rsid w:val="00227CB3"/>
    <w:rsid w:val="0023383A"/>
    <w:rsid w:val="00233D26"/>
    <w:rsid w:val="00236051"/>
    <w:rsid w:val="002360A0"/>
    <w:rsid w:val="0024082A"/>
    <w:rsid w:val="00240BBA"/>
    <w:rsid w:val="00241721"/>
    <w:rsid w:val="00242EE2"/>
    <w:rsid w:val="00243B9D"/>
    <w:rsid w:val="002445CD"/>
    <w:rsid w:val="00245140"/>
    <w:rsid w:val="00245AC7"/>
    <w:rsid w:val="00251477"/>
    <w:rsid w:val="00251546"/>
    <w:rsid w:val="00252EB9"/>
    <w:rsid w:val="002535CE"/>
    <w:rsid w:val="002558BF"/>
    <w:rsid w:val="00255D16"/>
    <w:rsid w:val="00256B13"/>
    <w:rsid w:val="00257CBC"/>
    <w:rsid w:val="0026192D"/>
    <w:rsid w:val="0026205D"/>
    <w:rsid w:val="0026477A"/>
    <w:rsid w:val="00264B48"/>
    <w:rsid w:val="002663D1"/>
    <w:rsid w:val="00267EB1"/>
    <w:rsid w:val="00271098"/>
    <w:rsid w:val="00273634"/>
    <w:rsid w:val="00273928"/>
    <w:rsid w:val="00273EB5"/>
    <w:rsid w:val="00274AD2"/>
    <w:rsid w:val="00276167"/>
    <w:rsid w:val="00280AA1"/>
    <w:rsid w:val="00281135"/>
    <w:rsid w:val="002819A7"/>
    <w:rsid w:val="002830DB"/>
    <w:rsid w:val="002841EF"/>
    <w:rsid w:val="002858F2"/>
    <w:rsid w:val="0029001C"/>
    <w:rsid w:val="00290823"/>
    <w:rsid w:val="00290930"/>
    <w:rsid w:val="00292B28"/>
    <w:rsid w:val="002933A5"/>
    <w:rsid w:val="00293581"/>
    <w:rsid w:val="00293E81"/>
    <w:rsid w:val="00294DC9"/>
    <w:rsid w:val="00297683"/>
    <w:rsid w:val="002A0574"/>
    <w:rsid w:val="002A2C8F"/>
    <w:rsid w:val="002A3167"/>
    <w:rsid w:val="002A3C37"/>
    <w:rsid w:val="002A50A6"/>
    <w:rsid w:val="002A5346"/>
    <w:rsid w:val="002A5722"/>
    <w:rsid w:val="002B002B"/>
    <w:rsid w:val="002B03CE"/>
    <w:rsid w:val="002B1A16"/>
    <w:rsid w:val="002B2129"/>
    <w:rsid w:val="002B2A12"/>
    <w:rsid w:val="002B478D"/>
    <w:rsid w:val="002B4895"/>
    <w:rsid w:val="002B5D5C"/>
    <w:rsid w:val="002B6381"/>
    <w:rsid w:val="002C0283"/>
    <w:rsid w:val="002C06A6"/>
    <w:rsid w:val="002C17A5"/>
    <w:rsid w:val="002C2498"/>
    <w:rsid w:val="002C4DB0"/>
    <w:rsid w:val="002C5F62"/>
    <w:rsid w:val="002C6688"/>
    <w:rsid w:val="002D06AC"/>
    <w:rsid w:val="002D1086"/>
    <w:rsid w:val="002D1E28"/>
    <w:rsid w:val="002D2940"/>
    <w:rsid w:val="002D2C07"/>
    <w:rsid w:val="002D3FD5"/>
    <w:rsid w:val="002D4857"/>
    <w:rsid w:val="002D4F9D"/>
    <w:rsid w:val="002D5031"/>
    <w:rsid w:val="002D514A"/>
    <w:rsid w:val="002D66B2"/>
    <w:rsid w:val="002D6917"/>
    <w:rsid w:val="002D777D"/>
    <w:rsid w:val="002E1918"/>
    <w:rsid w:val="002E25EA"/>
    <w:rsid w:val="002E34AA"/>
    <w:rsid w:val="002E368F"/>
    <w:rsid w:val="002E39DA"/>
    <w:rsid w:val="002E5715"/>
    <w:rsid w:val="002E632A"/>
    <w:rsid w:val="002E7CA5"/>
    <w:rsid w:val="002F0B1D"/>
    <w:rsid w:val="002F11F7"/>
    <w:rsid w:val="002F2498"/>
    <w:rsid w:val="002F3BEA"/>
    <w:rsid w:val="002F6A68"/>
    <w:rsid w:val="00300B51"/>
    <w:rsid w:val="0030170E"/>
    <w:rsid w:val="0030476C"/>
    <w:rsid w:val="00304DF1"/>
    <w:rsid w:val="00305063"/>
    <w:rsid w:val="00305664"/>
    <w:rsid w:val="0030575E"/>
    <w:rsid w:val="003079C8"/>
    <w:rsid w:val="00310637"/>
    <w:rsid w:val="00311359"/>
    <w:rsid w:val="00312DF5"/>
    <w:rsid w:val="00313DB9"/>
    <w:rsid w:val="00314668"/>
    <w:rsid w:val="00317103"/>
    <w:rsid w:val="0031779D"/>
    <w:rsid w:val="00321894"/>
    <w:rsid w:val="00321E93"/>
    <w:rsid w:val="003220B7"/>
    <w:rsid w:val="00323964"/>
    <w:rsid w:val="00323EF3"/>
    <w:rsid w:val="00324687"/>
    <w:rsid w:val="003302F1"/>
    <w:rsid w:val="00330BDA"/>
    <w:rsid w:val="003316F4"/>
    <w:rsid w:val="00331A81"/>
    <w:rsid w:val="003320FC"/>
    <w:rsid w:val="003322CD"/>
    <w:rsid w:val="00332950"/>
    <w:rsid w:val="0033338A"/>
    <w:rsid w:val="003343D1"/>
    <w:rsid w:val="00335C55"/>
    <w:rsid w:val="00336DFB"/>
    <w:rsid w:val="003378D6"/>
    <w:rsid w:val="003426BD"/>
    <w:rsid w:val="00344AE1"/>
    <w:rsid w:val="00345E66"/>
    <w:rsid w:val="00345F08"/>
    <w:rsid w:val="0034685B"/>
    <w:rsid w:val="00346F3D"/>
    <w:rsid w:val="003509D1"/>
    <w:rsid w:val="0035176B"/>
    <w:rsid w:val="00351C16"/>
    <w:rsid w:val="00352749"/>
    <w:rsid w:val="0035332A"/>
    <w:rsid w:val="0035349B"/>
    <w:rsid w:val="00354644"/>
    <w:rsid w:val="00356537"/>
    <w:rsid w:val="00357395"/>
    <w:rsid w:val="00360871"/>
    <w:rsid w:val="003608AA"/>
    <w:rsid w:val="003609FD"/>
    <w:rsid w:val="0036137D"/>
    <w:rsid w:val="003619E7"/>
    <w:rsid w:val="00361AAF"/>
    <w:rsid w:val="00362880"/>
    <w:rsid w:val="00363511"/>
    <w:rsid w:val="00363B12"/>
    <w:rsid w:val="00365D9A"/>
    <w:rsid w:val="003701A5"/>
    <w:rsid w:val="003706D2"/>
    <w:rsid w:val="00370A5E"/>
    <w:rsid w:val="003725C2"/>
    <w:rsid w:val="00373A64"/>
    <w:rsid w:val="00374AF9"/>
    <w:rsid w:val="00374B41"/>
    <w:rsid w:val="0037571D"/>
    <w:rsid w:val="003765CE"/>
    <w:rsid w:val="0037671A"/>
    <w:rsid w:val="0038094D"/>
    <w:rsid w:val="003818BE"/>
    <w:rsid w:val="00381FCE"/>
    <w:rsid w:val="00382067"/>
    <w:rsid w:val="003828A1"/>
    <w:rsid w:val="00382E57"/>
    <w:rsid w:val="00383F2D"/>
    <w:rsid w:val="003863F6"/>
    <w:rsid w:val="00386986"/>
    <w:rsid w:val="00386F81"/>
    <w:rsid w:val="003872AE"/>
    <w:rsid w:val="0038751E"/>
    <w:rsid w:val="0039188F"/>
    <w:rsid w:val="003920FF"/>
    <w:rsid w:val="003942D6"/>
    <w:rsid w:val="003944E2"/>
    <w:rsid w:val="003947B1"/>
    <w:rsid w:val="003947F2"/>
    <w:rsid w:val="00394EB0"/>
    <w:rsid w:val="00395D42"/>
    <w:rsid w:val="00397282"/>
    <w:rsid w:val="003A15EC"/>
    <w:rsid w:val="003A1FD3"/>
    <w:rsid w:val="003A2208"/>
    <w:rsid w:val="003A2894"/>
    <w:rsid w:val="003A3492"/>
    <w:rsid w:val="003A3D47"/>
    <w:rsid w:val="003A45A1"/>
    <w:rsid w:val="003A4668"/>
    <w:rsid w:val="003A53B8"/>
    <w:rsid w:val="003A5C2D"/>
    <w:rsid w:val="003A5C90"/>
    <w:rsid w:val="003A6654"/>
    <w:rsid w:val="003A6761"/>
    <w:rsid w:val="003A68EC"/>
    <w:rsid w:val="003A70DB"/>
    <w:rsid w:val="003A7D73"/>
    <w:rsid w:val="003B0900"/>
    <w:rsid w:val="003B0E59"/>
    <w:rsid w:val="003B273C"/>
    <w:rsid w:val="003B27AC"/>
    <w:rsid w:val="003B3BA5"/>
    <w:rsid w:val="003B405E"/>
    <w:rsid w:val="003B43C0"/>
    <w:rsid w:val="003B4C89"/>
    <w:rsid w:val="003B70D5"/>
    <w:rsid w:val="003C0FC4"/>
    <w:rsid w:val="003C13BB"/>
    <w:rsid w:val="003C531C"/>
    <w:rsid w:val="003D01A7"/>
    <w:rsid w:val="003D0D89"/>
    <w:rsid w:val="003D110B"/>
    <w:rsid w:val="003D136E"/>
    <w:rsid w:val="003D1886"/>
    <w:rsid w:val="003D4E4E"/>
    <w:rsid w:val="003E03EC"/>
    <w:rsid w:val="003E091A"/>
    <w:rsid w:val="003E0D9D"/>
    <w:rsid w:val="003E289B"/>
    <w:rsid w:val="003E304E"/>
    <w:rsid w:val="003E3A1E"/>
    <w:rsid w:val="003E3ADE"/>
    <w:rsid w:val="003E40D4"/>
    <w:rsid w:val="003E602A"/>
    <w:rsid w:val="003E62D0"/>
    <w:rsid w:val="003E66F9"/>
    <w:rsid w:val="003E7866"/>
    <w:rsid w:val="003F092C"/>
    <w:rsid w:val="003F16B0"/>
    <w:rsid w:val="003F20EB"/>
    <w:rsid w:val="003F3812"/>
    <w:rsid w:val="003F4EED"/>
    <w:rsid w:val="003F6E28"/>
    <w:rsid w:val="003F731A"/>
    <w:rsid w:val="003F797B"/>
    <w:rsid w:val="0040692A"/>
    <w:rsid w:val="00406CF8"/>
    <w:rsid w:val="00412459"/>
    <w:rsid w:val="00413778"/>
    <w:rsid w:val="00413C37"/>
    <w:rsid w:val="00413D33"/>
    <w:rsid w:val="00414DAB"/>
    <w:rsid w:val="0041792E"/>
    <w:rsid w:val="0042149E"/>
    <w:rsid w:val="0042168F"/>
    <w:rsid w:val="00422EA6"/>
    <w:rsid w:val="0042395F"/>
    <w:rsid w:val="004243F4"/>
    <w:rsid w:val="0042513A"/>
    <w:rsid w:val="00425D14"/>
    <w:rsid w:val="00426D0A"/>
    <w:rsid w:val="00430058"/>
    <w:rsid w:val="00430CD6"/>
    <w:rsid w:val="004351D9"/>
    <w:rsid w:val="004355D3"/>
    <w:rsid w:val="00435928"/>
    <w:rsid w:val="00435AA1"/>
    <w:rsid w:val="00435EDE"/>
    <w:rsid w:val="00435FB3"/>
    <w:rsid w:val="00436E2D"/>
    <w:rsid w:val="004372D3"/>
    <w:rsid w:val="00437362"/>
    <w:rsid w:val="0043793F"/>
    <w:rsid w:val="004415AF"/>
    <w:rsid w:val="00441C4F"/>
    <w:rsid w:val="00444454"/>
    <w:rsid w:val="004455F8"/>
    <w:rsid w:val="004502A0"/>
    <w:rsid w:val="0045070E"/>
    <w:rsid w:val="004508D3"/>
    <w:rsid w:val="00451003"/>
    <w:rsid w:val="00451C3D"/>
    <w:rsid w:val="00452FE6"/>
    <w:rsid w:val="00454464"/>
    <w:rsid w:val="004553B2"/>
    <w:rsid w:val="00455F0A"/>
    <w:rsid w:val="00456D80"/>
    <w:rsid w:val="00457C2A"/>
    <w:rsid w:val="004609FE"/>
    <w:rsid w:val="00462137"/>
    <w:rsid w:val="004629A7"/>
    <w:rsid w:val="00463847"/>
    <w:rsid w:val="00467A7F"/>
    <w:rsid w:val="00470755"/>
    <w:rsid w:val="004722A5"/>
    <w:rsid w:val="00472D1F"/>
    <w:rsid w:val="00476165"/>
    <w:rsid w:val="00477EB0"/>
    <w:rsid w:val="00480D7F"/>
    <w:rsid w:val="004850B5"/>
    <w:rsid w:val="004859C0"/>
    <w:rsid w:val="0048667F"/>
    <w:rsid w:val="00486884"/>
    <w:rsid w:val="00486D09"/>
    <w:rsid w:val="00491E83"/>
    <w:rsid w:val="0049324C"/>
    <w:rsid w:val="00493B71"/>
    <w:rsid w:val="004943FC"/>
    <w:rsid w:val="00494717"/>
    <w:rsid w:val="00495D65"/>
    <w:rsid w:val="004975AD"/>
    <w:rsid w:val="004A020A"/>
    <w:rsid w:val="004A0238"/>
    <w:rsid w:val="004A05D2"/>
    <w:rsid w:val="004A1CAB"/>
    <w:rsid w:val="004A1E18"/>
    <w:rsid w:val="004A1EE0"/>
    <w:rsid w:val="004A1FBC"/>
    <w:rsid w:val="004A3F59"/>
    <w:rsid w:val="004A5A30"/>
    <w:rsid w:val="004A5C2A"/>
    <w:rsid w:val="004A715A"/>
    <w:rsid w:val="004A7EEA"/>
    <w:rsid w:val="004B08F4"/>
    <w:rsid w:val="004B0D27"/>
    <w:rsid w:val="004B1AD1"/>
    <w:rsid w:val="004C1E4A"/>
    <w:rsid w:val="004C27F9"/>
    <w:rsid w:val="004C3BB9"/>
    <w:rsid w:val="004C4541"/>
    <w:rsid w:val="004C6DD3"/>
    <w:rsid w:val="004C7DB7"/>
    <w:rsid w:val="004C7E80"/>
    <w:rsid w:val="004D0D91"/>
    <w:rsid w:val="004D1F1B"/>
    <w:rsid w:val="004D2047"/>
    <w:rsid w:val="004D2D87"/>
    <w:rsid w:val="004D3744"/>
    <w:rsid w:val="004D5679"/>
    <w:rsid w:val="004E16C5"/>
    <w:rsid w:val="004E1962"/>
    <w:rsid w:val="004E4A9A"/>
    <w:rsid w:val="004E5541"/>
    <w:rsid w:val="004E567A"/>
    <w:rsid w:val="004F039B"/>
    <w:rsid w:val="004F1A79"/>
    <w:rsid w:val="004F2EF1"/>
    <w:rsid w:val="004F4164"/>
    <w:rsid w:val="004F510E"/>
    <w:rsid w:val="004F5F71"/>
    <w:rsid w:val="00503688"/>
    <w:rsid w:val="00503755"/>
    <w:rsid w:val="00504814"/>
    <w:rsid w:val="005049CB"/>
    <w:rsid w:val="00505137"/>
    <w:rsid w:val="0050537E"/>
    <w:rsid w:val="0050603C"/>
    <w:rsid w:val="00506DA7"/>
    <w:rsid w:val="005070BF"/>
    <w:rsid w:val="0051155C"/>
    <w:rsid w:val="00511C26"/>
    <w:rsid w:val="00511E1E"/>
    <w:rsid w:val="005121C5"/>
    <w:rsid w:val="00512251"/>
    <w:rsid w:val="00512C9D"/>
    <w:rsid w:val="00513617"/>
    <w:rsid w:val="00513EDF"/>
    <w:rsid w:val="005152D7"/>
    <w:rsid w:val="005153EA"/>
    <w:rsid w:val="00515C9D"/>
    <w:rsid w:val="00517720"/>
    <w:rsid w:val="00520654"/>
    <w:rsid w:val="005207F4"/>
    <w:rsid w:val="0052171F"/>
    <w:rsid w:val="0052317D"/>
    <w:rsid w:val="00523191"/>
    <w:rsid w:val="00524504"/>
    <w:rsid w:val="00524948"/>
    <w:rsid w:val="0052560D"/>
    <w:rsid w:val="00526967"/>
    <w:rsid w:val="00532201"/>
    <w:rsid w:val="005375D4"/>
    <w:rsid w:val="005421EB"/>
    <w:rsid w:val="00542A2A"/>
    <w:rsid w:val="00544025"/>
    <w:rsid w:val="00544602"/>
    <w:rsid w:val="0054525F"/>
    <w:rsid w:val="00545C65"/>
    <w:rsid w:val="00546071"/>
    <w:rsid w:val="005470DC"/>
    <w:rsid w:val="005473FD"/>
    <w:rsid w:val="005500FB"/>
    <w:rsid w:val="005503BA"/>
    <w:rsid w:val="00550AB0"/>
    <w:rsid w:val="00551FB0"/>
    <w:rsid w:val="0055687B"/>
    <w:rsid w:val="00560463"/>
    <w:rsid w:val="005614FC"/>
    <w:rsid w:val="005622FC"/>
    <w:rsid w:val="005653CD"/>
    <w:rsid w:val="0056682A"/>
    <w:rsid w:val="00566985"/>
    <w:rsid w:val="005669D9"/>
    <w:rsid w:val="00566B75"/>
    <w:rsid w:val="00567C9B"/>
    <w:rsid w:val="00571B2D"/>
    <w:rsid w:val="00572ADA"/>
    <w:rsid w:val="005734A7"/>
    <w:rsid w:val="00573545"/>
    <w:rsid w:val="00574062"/>
    <w:rsid w:val="005743D8"/>
    <w:rsid w:val="005773F0"/>
    <w:rsid w:val="00577501"/>
    <w:rsid w:val="0057761D"/>
    <w:rsid w:val="00577AFD"/>
    <w:rsid w:val="00577E6F"/>
    <w:rsid w:val="005807BD"/>
    <w:rsid w:val="00580804"/>
    <w:rsid w:val="0058310D"/>
    <w:rsid w:val="00583688"/>
    <w:rsid w:val="00583AA7"/>
    <w:rsid w:val="00584058"/>
    <w:rsid w:val="00584713"/>
    <w:rsid w:val="005853A2"/>
    <w:rsid w:val="00593635"/>
    <w:rsid w:val="00593E04"/>
    <w:rsid w:val="0059473C"/>
    <w:rsid w:val="00597518"/>
    <w:rsid w:val="0059763B"/>
    <w:rsid w:val="005A0BD4"/>
    <w:rsid w:val="005A0CE8"/>
    <w:rsid w:val="005A428D"/>
    <w:rsid w:val="005A4E87"/>
    <w:rsid w:val="005A57FE"/>
    <w:rsid w:val="005A5A86"/>
    <w:rsid w:val="005A655C"/>
    <w:rsid w:val="005A6E79"/>
    <w:rsid w:val="005B0140"/>
    <w:rsid w:val="005B0D9D"/>
    <w:rsid w:val="005B27F0"/>
    <w:rsid w:val="005B370E"/>
    <w:rsid w:val="005B41BD"/>
    <w:rsid w:val="005B5B6B"/>
    <w:rsid w:val="005B5FE8"/>
    <w:rsid w:val="005B6CDE"/>
    <w:rsid w:val="005B6D3E"/>
    <w:rsid w:val="005B6E38"/>
    <w:rsid w:val="005B74A2"/>
    <w:rsid w:val="005C1870"/>
    <w:rsid w:val="005C21A2"/>
    <w:rsid w:val="005C2BDF"/>
    <w:rsid w:val="005C3D84"/>
    <w:rsid w:val="005C4225"/>
    <w:rsid w:val="005C482A"/>
    <w:rsid w:val="005C4F01"/>
    <w:rsid w:val="005C536E"/>
    <w:rsid w:val="005C55E7"/>
    <w:rsid w:val="005C5AA9"/>
    <w:rsid w:val="005C67C3"/>
    <w:rsid w:val="005C6965"/>
    <w:rsid w:val="005C6F56"/>
    <w:rsid w:val="005D1617"/>
    <w:rsid w:val="005D25C2"/>
    <w:rsid w:val="005D609C"/>
    <w:rsid w:val="005D61F6"/>
    <w:rsid w:val="005D6DB9"/>
    <w:rsid w:val="005E0027"/>
    <w:rsid w:val="005E0F97"/>
    <w:rsid w:val="005E2610"/>
    <w:rsid w:val="005E2711"/>
    <w:rsid w:val="005E2E2A"/>
    <w:rsid w:val="005E55AA"/>
    <w:rsid w:val="005E662D"/>
    <w:rsid w:val="005F03D1"/>
    <w:rsid w:val="005F2D66"/>
    <w:rsid w:val="005F3C16"/>
    <w:rsid w:val="00600BDF"/>
    <w:rsid w:val="00601A38"/>
    <w:rsid w:val="00601C4E"/>
    <w:rsid w:val="00601CA1"/>
    <w:rsid w:val="006037A0"/>
    <w:rsid w:val="00603EEB"/>
    <w:rsid w:val="00604B15"/>
    <w:rsid w:val="00604D58"/>
    <w:rsid w:val="00606628"/>
    <w:rsid w:val="00606B94"/>
    <w:rsid w:val="00607BF0"/>
    <w:rsid w:val="00607F21"/>
    <w:rsid w:val="00610DF9"/>
    <w:rsid w:val="00611333"/>
    <w:rsid w:val="006138AF"/>
    <w:rsid w:val="0061458F"/>
    <w:rsid w:val="006153FC"/>
    <w:rsid w:val="00615B9B"/>
    <w:rsid w:val="0061679F"/>
    <w:rsid w:val="00616A7A"/>
    <w:rsid w:val="00624C46"/>
    <w:rsid w:val="006256DA"/>
    <w:rsid w:val="00627BEE"/>
    <w:rsid w:val="00631591"/>
    <w:rsid w:val="00631AED"/>
    <w:rsid w:val="00631BFB"/>
    <w:rsid w:val="00632693"/>
    <w:rsid w:val="00633AC2"/>
    <w:rsid w:val="00633C6B"/>
    <w:rsid w:val="00633F10"/>
    <w:rsid w:val="00634E4F"/>
    <w:rsid w:val="006365E8"/>
    <w:rsid w:val="0063710A"/>
    <w:rsid w:val="006402E3"/>
    <w:rsid w:val="00640A51"/>
    <w:rsid w:val="00640FE2"/>
    <w:rsid w:val="00641D67"/>
    <w:rsid w:val="00643050"/>
    <w:rsid w:val="0064332B"/>
    <w:rsid w:val="00643360"/>
    <w:rsid w:val="006443AD"/>
    <w:rsid w:val="0064733F"/>
    <w:rsid w:val="0064750F"/>
    <w:rsid w:val="00647D2D"/>
    <w:rsid w:val="0065035B"/>
    <w:rsid w:val="00652EBC"/>
    <w:rsid w:val="0065306B"/>
    <w:rsid w:val="00655145"/>
    <w:rsid w:val="00656E7A"/>
    <w:rsid w:val="00656EF3"/>
    <w:rsid w:val="00657792"/>
    <w:rsid w:val="0066048D"/>
    <w:rsid w:val="00661247"/>
    <w:rsid w:val="00661DD3"/>
    <w:rsid w:val="006659C4"/>
    <w:rsid w:val="00665BAA"/>
    <w:rsid w:val="00666C81"/>
    <w:rsid w:val="006673C5"/>
    <w:rsid w:val="00670A07"/>
    <w:rsid w:val="006717CE"/>
    <w:rsid w:val="0067231B"/>
    <w:rsid w:val="00675AAD"/>
    <w:rsid w:val="00675C70"/>
    <w:rsid w:val="00675ED1"/>
    <w:rsid w:val="0067621B"/>
    <w:rsid w:val="00677160"/>
    <w:rsid w:val="006808F4"/>
    <w:rsid w:val="00681433"/>
    <w:rsid w:val="006818B6"/>
    <w:rsid w:val="00681EDA"/>
    <w:rsid w:val="00686E7B"/>
    <w:rsid w:val="00690BEC"/>
    <w:rsid w:val="00691E60"/>
    <w:rsid w:val="0069481A"/>
    <w:rsid w:val="00695617"/>
    <w:rsid w:val="00695A2D"/>
    <w:rsid w:val="00695A4B"/>
    <w:rsid w:val="006975F8"/>
    <w:rsid w:val="006977DE"/>
    <w:rsid w:val="006A2DFB"/>
    <w:rsid w:val="006A5536"/>
    <w:rsid w:val="006A7239"/>
    <w:rsid w:val="006B04CE"/>
    <w:rsid w:val="006B05B1"/>
    <w:rsid w:val="006B3CF0"/>
    <w:rsid w:val="006B5238"/>
    <w:rsid w:val="006B5715"/>
    <w:rsid w:val="006B6540"/>
    <w:rsid w:val="006C0F15"/>
    <w:rsid w:val="006C585E"/>
    <w:rsid w:val="006C5F22"/>
    <w:rsid w:val="006C6477"/>
    <w:rsid w:val="006D1F16"/>
    <w:rsid w:val="006D2264"/>
    <w:rsid w:val="006D22AC"/>
    <w:rsid w:val="006D2507"/>
    <w:rsid w:val="006D2758"/>
    <w:rsid w:val="006D2872"/>
    <w:rsid w:val="006D3A0F"/>
    <w:rsid w:val="006D3E92"/>
    <w:rsid w:val="006D5987"/>
    <w:rsid w:val="006D67F1"/>
    <w:rsid w:val="006E0912"/>
    <w:rsid w:val="006E09E7"/>
    <w:rsid w:val="006E0B8E"/>
    <w:rsid w:val="006E1EA7"/>
    <w:rsid w:val="006E2755"/>
    <w:rsid w:val="006E4385"/>
    <w:rsid w:val="006E5589"/>
    <w:rsid w:val="006E5D14"/>
    <w:rsid w:val="006E6BC4"/>
    <w:rsid w:val="006E746C"/>
    <w:rsid w:val="006E7696"/>
    <w:rsid w:val="006F0E48"/>
    <w:rsid w:val="006F0EBF"/>
    <w:rsid w:val="006F16F8"/>
    <w:rsid w:val="006F19F2"/>
    <w:rsid w:val="006F5F90"/>
    <w:rsid w:val="0070271E"/>
    <w:rsid w:val="0070295B"/>
    <w:rsid w:val="00705650"/>
    <w:rsid w:val="00717FBB"/>
    <w:rsid w:val="00720F77"/>
    <w:rsid w:val="00721F62"/>
    <w:rsid w:val="00723F79"/>
    <w:rsid w:val="00724D97"/>
    <w:rsid w:val="007301CB"/>
    <w:rsid w:val="00730F1D"/>
    <w:rsid w:val="00732532"/>
    <w:rsid w:val="007326F7"/>
    <w:rsid w:val="00733B7D"/>
    <w:rsid w:val="00733F1F"/>
    <w:rsid w:val="00734B71"/>
    <w:rsid w:val="00734CBA"/>
    <w:rsid w:val="007358B3"/>
    <w:rsid w:val="0073711A"/>
    <w:rsid w:val="007409D0"/>
    <w:rsid w:val="0074245D"/>
    <w:rsid w:val="007428FE"/>
    <w:rsid w:val="00742A96"/>
    <w:rsid w:val="007432B5"/>
    <w:rsid w:val="00743F3D"/>
    <w:rsid w:val="00745C9F"/>
    <w:rsid w:val="00746A5A"/>
    <w:rsid w:val="00747C77"/>
    <w:rsid w:val="00747E2A"/>
    <w:rsid w:val="00750FDD"/>
    <w:rsid w:val="00751DAD"/>
    <w:rsid w:val="007523F3"/>
    <w:rsid w:val="00752F8D"/>
    <w:rsid w:val="00753821"/>
    <w:rsid w:val="00753B62"/>
    <w:rsid w:val="00753B6E"/>
    <w:rsid w:val="00755744"/>
    <w:rsid w:val="00756172"/>
    <w:rsid w:val="007571B1"/>
    <w:rsid w:val="00760D22"/>
    <w:rsid w:val="0076175D"/>
    <w:rsid w:val="00761ECC"/>
    <w:rsid w:val="007673F2"/>
    <w:rsid w:val="00770456"/>
    <w:rsid w:val="00770E97"/>
    <w:rsid w:val="0077142E"/>
    <w:rsid w:val="00771814"/>
    <w:rsid w:val="007746E4"/>
    <w:rsid w:val="007758ED"/>
    <w:rsid w:val="0077612D"/>
    <w:rsid w:val="0077725C"/>
    <w:rsid w:val="0077772C"/>
    <w:rsid w:val="0077794F"/>
    <w:rsid w:val="00777D8F"/>
    <w:rsid w:val="007807A0"/>
    <w:rsid w:val="00780BC0"/>
    <w:rsid w:val="00780F6B"/>
    <w:rsid w:val="00783F1F"/>
    <w:rsid w:val="007856B6"/>
    <w:rsid w:val="007858B6"/>
    <w:rsid w:val="00786BDE"/>
    <w:rsid w:val="007872B6"/>
    <w:rsid w:val="00791466"/>
    <w:rsid w:val="00792DB6"/>
    <w:rsid w:val="00793312"/>
    <w:rsid w:val="00793FD2"/>
    <w:rsid w:val="0079493F"/>
    <w:rsid w:val="00794FF4"/>
    <w:rsid w:val="007968AD"/>
    <w:rsid w:val="00796AF5"/>
    <w:rsid w:val="007A2009"/>
    <w:rsid w:val="007A201A"/>
    <w:rsid w:val="007A31BE"/>
    <w:rsid w:val="007A4C3A"/>
    <w:rsid w:val="007A50ED"/>
    <w:rsid w:val="007A5DD3"/>
    <w:rsid w:val="007A701E"/>
    <w:rsid w:val="007B132B"/>
    <w:rsid w:val="007B2278"/>
    <w:rsid w:val="007B2EF1"/>
    <w:rsid w:val="007B2F77"/>
    <w:rsid w:val="007B4BAD"/>
    <w:rsid w:val="007B67A9"/>
    <w:rsid w:val="007B6F79"/>
    <w:rsid w:val="007C4F4C"/>
    <w:rsid w:val="007C6A91"/>
    <w:rsid w:val="007C702D"/>
    <w:rsid w:val="007D0DDC"/>
    <w:rsid w:val="007D1199"/>
    <w:rsid w:val="007D2200"/>
    <w:rsid w:val="007D28BE"/>
    <w:rsid w:val="007D2B42"/>
    <w:rsid w:val="007D30B9"/>
    <w:rsid w:val="007D35F6"/>
    <w:rsid w:val="007D5F58"/>
    <w:rsid w:val="007D632E"/>
    <w:rsid w:val="007D6DB6"/>
    <w:rsid w:val="007D72F2"/>
    <w:rsid w:val="007D72FD"/>
    <w:rsid w:val="007D78AF"/>
    <w:rsid w:val="007E0710"/>
    <w:rsid w:val="007E13C7"/>
    <w:rsid w:val="007E1C46"/>
    <w:rsid w:val="007E2040"/>
    <w:rsid w:val="007E2CED"/>
    <w:rsid w:val="007E31B2"/>
    <w:rsid w:val="007E55DD"/>
    <w:rsid w:val="007F2408"/>
    <w:rsid w:val="007F2488"/>
    <w:rsid w:val="007F2D3C"/>
    <w:rsid w:val="007F41C2"/>
    <w:rsid w:val="007F4399"/>
    <w:rsid w:val="007F6CB5"/>
    <w:rsid w:val="008027B9"/>
    <w:rsid w:val="00803006"/>
    <w:rsid w:val="00803DCB"/>
    <w:rsid w:val="00804445"/>
    <w:rsid w:val="008101A8"/>
    <w:rsid w:val="00811F64"/>
    <w:rsid w:val="00812294"/>
    <w:rsid w:val="00812EC4"/>
    <w:rsid w:val="0081631C"/>
    <w:rsid w:val="00817950"/>
    <w:rsid w:val="00817D34"/>
    <w:rsid w:val="00817FD6"/>
    <w:rsid w:val="00822007"/>
    <w:rsid w:val="008224AB"/>
    <w:rsid w:val="0082292A"/>
    <w:rsid w:val="0082296B"/>
    <w:rsid w:val="00822D76"/>
    <w:rsid w:val="00822EDF"/>
    <w:rsid w:val="00824540"/>
    <w:rsid w:val="008245FE"/>
    <w:rsid w:val="00824C34"/>
    <w:rsid w:val="00824D23"/>
    <w:rsid w:val="00833C0F"/>
    <w:rsid w:val="00834073"/>
    <w:rsid w:val="00834E84"/>
    <w:rsid w:val="00835A46"/>
    <w:rsid w:val="00836125"/>
    <w:rsid w:val="00836528"/>
    <w:rsid w:val="00836D88"/>
    <w:rsid w:val="00840DB3"/>
    <w:rsid w:val="008411CA"/>
    <w:rsid w:val="008416FA"/>
    <w:rsid w:val="00843C22"/>
    <w:rsid w:val="008442C6"/>
    <w:rsid w:val="0084442B"/>
    <w:rsid w:val="00844BDE"/>
    <w:rsid w:val="00844E45"/>
    <w:rsid w:val="00845341"/>
    <w:rsid w:val="00845DE8"/>
    <w:rsid w:val="00846811"/>
    <w:rsid w:val="008475DA"/>
    <w:rsid w:val="00852281"/>
    <w:rsid w:val="008522D9"/>
    <w:rsid w:val="008527C6"/>
    <w:rsid w:val="00852FA6"/>
    <w:rsid w:val="00853637"/>
    <w:rsid w:val="0085403D"/>
    <w:rsid w:val="008548E4"/>
    <w:rsid w:val="008563E1"/>
    <w:rsid w:val="00856679"/>
    <w:rsid w:val="008567DA"/>
    <w:rsid w:val="00857346"/>
    <w:rsid w:val="00857CA6"/>
    <w:rsid w:val="008617BC"/>
    <w:rsid w:val="00861DC5"/>
    <w:rsid w:val="00864462"/>
    <w:rsid w:val="00864B9C"/>
    <w:rsid w:val="0086664A"/>
    <w:rsid w:val="00866EB4"/>
    <w:rsid w:val="00866F5B"/>
    <w:rsid w:val="00867989"/>
    <w:rsid w:val="0087105D"/>
    <w:rsid w:val="0087185C"/>
    <w:rsid w:val="00872117"/>
    <w:rsid w:val="008722A7"/>
    <w:rsid w:val="008723BA"/>
    <w:rsid w:val="00875EB2"/>
    <w:rsid w:val="0088101E"/>
    <w:rsid w:val="0088242F"/>
    <w:rsid w:val="008827BE"/>
    <w:rsid w:val="00882F2B"/>
    <w:rsid w:val="00883051"/>
    <w:rsid w:val="00883261"/>
    <w:rsid w:val="008844B9"/>
    <w:rsid w:val="008849BE"/>
    <w:rsid w:val="008849F9"/>
    <w:rsid w:val="008872F9"/>
    <w:rsid w:val="00891C04"/>
    <w:rsid w:val="008946F8"/>
    <w:rsid w:val="00894AD8"/>
    <w:rsid w:val="00895A23"/>
    <w:rsid w:val="00895E75"/>
    <w:rsid w:val="00896B44"/>
    <w:rsid w:val="00896FC2"/>
    <w:rsid w:val="00897947"/>
    <w:rsid w:val="008A0F9F"/>
    <w:rsid w:val="008A28EE"/>
    <w:rsid w:val="008A374F"/>
    <w:rsid w:val="008A3790"/>
    <w:rsid w:val="008A4EF5"/>
    <w:rsid w:val="008A561F"/>
    <w:rsid w:val="008A61EE"/>
    <w:rsid w:val="008A695E"/>
    <w:rsid w:val="008A7BBD"/>
    <w:rsid w:val="008B0B27"/>
    <w:rsid w:val="008B142E"/>
    <w:rsid w:val="008B27D3"/>
    <w:rsid w:val="008B3801"/>
    <w:rsid w:val="008B38AD"/>
    <w:rsid w:val="008C00EF"/>
    <w:rsid w:val="008C049E"/>
    <w:rsid w:val="008C06C2"/>
    <w:rsid w:val="008C0C13"/>
    <w:rsid w:val="008C23EF"/>
    <w:rsid w:val="008C4945"/>
    <w:rsid w:val="008C65D1"/>
    <w:rsid w:val="008C705F"/>
    <w:rsid w:val="008D16E0"/>
    <w:rsid w:val="008D20B8"/>
    <w:rsid w:val="008D5971"/>
    <w:rsid w:val="008D7468"/>
    <w:rsid w:val="008E0283"/>
    <w:rsid w:val="008E0826"/>
    <w:rsid w:val="008E25BB"/>
    <w:rsid w:val="008E2896"/>
    <w:rsid w:val="008E3792"/>
    <w:rsid w:val="008E6A30"/>
    <w:rsid w:val="008E6A50"/>
    <w:rsid w:val="008F0520"/>
    <w:rsid w:val="008F0CFA"/>
    <w:rsid w:val="008F3C56"/>
    <w:rsid w:val="008F3CFE"/>
    <w:rsid w:val="008F3D41"/>
    <w:rsid w:val="008F4123"/>
    <w:rsid w:val="008F7F3F"/>
    <w:rsid w:val="0090055A"/>
    <w:rsid w:val="00901242"/>
    <w:rsid w:val="00901773"/>
    <w:rsid w:val="00901CD3"/>
    <w:rsid w:val="009028B1"/>
    <w:rsid w:val="0090732A"/>
    <w:rsid w:val="00907B0E"/>
    <w:rsid w:val="00921AE5"/>
    <w:rsid w:val="00922410"/>
    <w:rsid w:val="0092526B"/>
    <w:rsid w:val="00931B49"/>
    <w:rsid w:val="0093322F"/>
    <w:rsid w:val="00933894"/>
    <w:rsid w:val="00934B99"/>
    <w:rsid w:val="009377EC"/>
    <w:rsid w:val="00937D69"/>
    <w:rsid w:val="00941AD4"/>
    <w:rsid w:val="00941D3F"/>
    <w:rsid w:val="009423F5"/>
    <w:rsid w:val="00942B61"/>
    <w:rsid w:val="00943241"/>
    <w:rsid w:val="00943396"/>
    <w:rsid w:val="00943AD3"/>
    <w:rsid w:val="0094554E"/>
    <w:rsid w:val="00945554"/>
    <w:rsid w:val="00946585"/>
    <w:rsid w:val="009507E0"/>
    <w:rsid w:val="009512C3"/>
    <w:rsid w:val="009527AD"/>
    <w:rsid w:val="009530BE"/>
    <w:rsid w:val="0095414E"/>
    <w:rsid w:val="0095682E"/>
    <w:rsid w:val="00957D34"/>
    <w:rsid w:val="00960605"/>
    <w:rsid w:val="009610E9"/>
    <w:rsid w:val="0096138B"/>
    <w:rsid w:val="00961828"/>
    <w:rsid w:val="009621BE"/>
    <w:rsid w:val="009640FC"/>
    <w:rsid w:val="00964D90"/>
    <w:rsid w:val="0096550A"/>
    <w:rsid w:val="00965AAB"/>
    <w:rsid w:val="0097065E"/>
    <w:rsid w:val="00970B05"/>
    <w:rsid w:val="00973DC2"/>
    <w:rsid w:val="009744CD"/>
    <w:rsid w:val="00977079"/>
    <w:rsid w:val="009774D8"/>
    <w:rsid w:val="00983F21"/>
    <w:rsid w:val="0098553E"/>
    <w:rsid w:val="009858D3"/>
    <w:rsid w:val="00987133"/>
    <w:rsid w:val="00987FB4"/>
    <w:rsid w:val="00994FA0"/>
    <w:rsid w:val="0099543B"/>
    <w:rsid w:val="0099676D"/>
    <w:rsid w:val="0099762D"/>
    <w:rsid w:val="009A03B9"/>
    <w:rsid w:val="009A33FE"/>
    <w:rsid w:val="009A3D2C"/>
    <w:rsid w:val="009A5DD8"/>
    <w:rsid w:val="009B479B"/>
    <w:rsid w:val="009B5420"/>
    <w:rsid w:val="009B69D7"/>
    <w:rsid w:val="009B6FCA"/>
    <w:rsid w:val="009C0BCC"/>
    <w:rsid w:val="009C3887"/>
    <w:rsid w:val="009C42F9"/>
    <w:rsid w:val="009C46F9"/>
    <w:rsid w:val="009C587A"/>
    <w:rsid w:val="009C6FB2"/>
    <w:rsid w:val="009C74EE"/>
    <w:rsid w:val="009C7730"/>
    <w:rsid w:val="009D0E71"/>
    <w:rsid w:val="009D6ADD"/>
    <w:rsid w:val="009D73EA"/>
    <w:rsid w:val="009E05E0"/>
    <w:rsid w:val="009E0653"/>
    <w:rsid w:val="009E0F6C"/>
    <w:rsid w:val="009E11B1"/>
    <w:rsid w:val="009E21FF"/>
    <w:rsid w:val="009E2888"/>
    <w:rsid w:val="009E3301"/>
    <w:rsid w:val="009E3675"/>
    <w:rsid w:val="009E59E9"/>
    <w:rsid w:val="009E6A59"/>
    <w:rsid w:val="009F0D3C"/>
    <w:rsid w:val="009F23D3"/>
    <w:rsid w:val="009F26D1"/>
    <w:rsid w:val="009F27AE"/>
    <w:rsid w:val="009F301F"/>
    <w:rsid w:val="009F669E"/>
    <w:rsid w:val="00A00CE3"/>
    <w:rsid w:val="00A0311C"/>
    <w:rsid w:val="00A04506"/>
    <w:rsid w:val="00A0589D"/>
    <w:rsid w:val="00A10829"/>
    <w:rsid w:val="00A11216"/>
    <w:rsid w:val="00A12054"/>
    <w:rsid w:val="00A15128"/>
    <w:rsid w:val="00A15130"/>
    <w:rsid w:val="00A17440"/>
    <w:rsid w:val="00A17B73"/>
    <w:rsid w:val="00A209DF"/>
    <w:rsid w:val="00A21117"/>
    <w:rsid w:val="00A21A3A"/>
    <w:rsid w:val="00A2302D"/>
    <w:rsid w:val="00A232B1"/>
    <w:rsid w:val="00A247CF"/>
    <w:rsid w:val="00A24A25"/>
    <w:rsid w:val="00A25135"/>
    <w:rsid w:val="00A265DB"/>
    <w:rsid w:val="00A32801"/>
    <w:rsid w:val="00A3626B"/>
    <w:rsid w:val="00A367FD"/>
    <w:rsid w:val="00A3730C"/>
    <w:rsid w:val="00A4131A"/>
    <w:rsid w:val="00A42328"/>
    <w:rsid w:val="00A4242B"/>
    <w:rsid w:val="00A44857"/>
    <w:rsid w:val="00A46C26"/>
    <w:rsid w:val="00A52B17"/>
    <w:rsid w:val="00A53D34"/>
    <w:rsid w:val="00A53DDD"/>
    <w:rsid w:val="00A5465E"/>
    <w:rsid w:val="00A55AD1"/>
    <w:rsid w:val="00A564D2"/>
    <w:rsid w:val="00A56727"/>
    <w:rsid w:val="00A57146"/>
    <w:rsid w:val="00A57801"/>
    <w:rsid w:val="00A60762"/>
    <w:rsid w:val="00A6115A"/>
    <w:rsid w:val="00A6277F"/>
    <w:rsid w:val="00A641E7"/>
    <w:rsid w:val="00A64714"/>
    <w:rsid w:val="00A65A05"/>
    <w:rsid w:val="00A66D1E"/>
    <w:rsid w:val="00A70FDA"/>
    <w:rsid w:val="00A715F2"/>
    <w:rsid w:val="00A7221C"/>
    <w:rsid w:val="00A7413A"/>
    <w:rsid w:val="00A7481F"/>
    <w:rsid w:val="00A7582E"/>
    <w:rsid w:val="00A774C1"/>
    <w:rsid w:val="00A8175E"/>
    <w:rsid w:val="00A838F5"/>
    <w:rsid w:val="00A840B3"/>
    <w:rsid w:val="00A879B4"/>
    <w:rsid w:val="00A91916"/>
    <w:rsid w:val="00A951AD"/>
    <w:rsid w:val="00A972AA"/>
    <w:rsid w:val="00AA0A6F"/>
    <w:rsid w:val="00AA1EF9"/>
    <w:rsid w:val="00AA2BB4"/>
    <w:rsid w:val="00AA3223"/>
    <w:rsid w:val="00AA3380"/>
    <w:rsid w:val="00AA3ECD"/>
    <w:rsid w:val="00AA55E2"/>
    <w:rsid w:val="00AA592E"/>
    <w:rsid w:val="00AB02A4"/>
    <w:rsid w:val="00AB2DB6"/>
    <w:rsid w:val="00AB50D7"/>
    <w:rsid w:val="00AB52DF"/>
    <w:rsid w:val="00AB5B3E"/>
    <w:rsid w:val="00AB5C3E"/>
    <w:rsid w:val="00AC075D"/>
    <w:rsid w:val="00AC143D"/>
    <w:rsid w:val="00AC1FDB"/>
    <w:rsid w:val="00AC2C08"/>
    <w:rsid w:val="00AC39A6"/>
    <w:rsid w:val="00AC3BFA"/>
    <w:rsid w:val="00AC410E"/>
    <w:rsid w:val="00AC43E0"/>
    <w:rsid w:val="00AC4B77"/>
    <w:rsid w:val="00AC6135"/>
    <w:rsid w:val="00AD0920"/>
    <w:rsid w:val="00AD0F6D"/>
    <w:rsid w:val="00AD1555"/>
    <w:rsid w:val="00AD1E84"/>
    <w:rsid w:val="00AD3AF2"/>
    <w:rsid w:val="00AD5174"/>
    <w:rsid w:val="00AD535F"/>
    <w:rsid w:val="00AE0F38"/>
    <w:rsid w:val="00AE236E"/>
    <w:rsid w:val="00AE324D"/>
    <w:rsid w:val="00AE4536"/>
    <w:rsid w:val="00AE5827"/>
    <w:rsid w:val="00AE73F5"/>
    <w:rsid w:val="00AE7CDF"/>
    <w:rsid w:val="00AF04B2"/>
    <w:rsid w:val="00AF05A5"/>
    <w:rsid w:val="00AF0681"/>
    <w:rsid w:val="00AF0E04"/>
    <w:rsid w:val="00AF1F36"/>
    <w:rsid w:val="00AF3E59"/>
    <w:rsid w:val="00AF449B"/>
    <w:rsid w:val="00AF6FF7"/>
    <w:rsid w:val="00B0054E"/>
    <w:rsid w:val="00B00CE6"/>
    <w:rsid w:val="00B03890"/>
    <w:rsid w:val="00B0436C"/>
    <w:rsid w:val="00B0462E"/>
    <w:rsid w:val="00B0652D"/>
    <w:rsid w:val="00B07DF4"/>
    <w:rsid w:val="00B11C27"/>
    <w:rsid w:val="00B12101"/>
    <w:rsid w:val="00B1464D"/>
    <w:rsid w:val="00B14965"/>
    <w:rsid w:val="00B14CC9"/>
    <w:rsid w:val="00B14E0A"/>
    <w:rsid w:val="00B14E0F"/>
    <w:rsid w:val="00B15775"/>
    <w:rsid w:val="00B1610D"/>
    <w:rsid w:val="00B1681D"/>
    <w:rsid w:val="00B17CF0"/>
    <w:rsid w:val="00B20623"/>
    <w:rsid w:val="00B208E9"/>
    <w:rsid w:val="00B22AF0"/>
    <w:rsid w:val="00B2303F"/>
    <w:rsid w:val="00B23B3A"/>
    <w:rsid w:val="00B2442C"/>
    <w:rsid w:val="00B25228"/>
    <w:rsid w:val="00B25B19"/>
    <w:rsid w:val="00B27A0C"/>
    <w:rsid w:val="00B30253"/>
    <w:rsid w:val="00B326DD"/>
    <w:rsid w:val="00B35591"/>
    <w:rsid w:val="00B36362"/>
    <w:rsid w:val="00B3636C"/>
    <w:rsid w:val="00B36E09"/>
    <w:rsid w:val="00B36F0E"/>
    <w:rsid w:val="00B372E0"/>
    <w:rsid w:val="00B37B71"/>
    <w:rsid w:val="00B40F96"/>
    <w:rsid w:val="00B415B4"/>
    <w:rsid w:val="00B41737"/>
    <w:rsid w:val="00B42171"/>
    <w:rsid w:val="00B42C6A"/>
    <w:rsid w:val="00B4356F"/>
    <w:rsid w:val="00B43872"/>
    <w:rsid w:val="00B43B64"/>
    <w:rsid w:val="00B44AD0"/>
    <w:rsid w:val="00B46503"/>
    <w:rsid w:val="00B54F75"/>
    <w:rsid w:val="00B56726"/>
    <w:rsid w:val="00B576E2"/>
    <w:rsid w:val="00B601F9"/>
    <w:rsid w:val="00B60319"/>
    <w:rsid w:val="00B63342"/>
    <w:rsid w:val="00B63B3A"/>
    <w:rsid w:val="00B649E1"/>
    <w:rsid w:val="00B6697D"/>
    <w:rsid w:val="00B7305B"/>
    <w:rsid w:val="00B73D2C"/>
    <w:rsid w:val="00B744B2"/>
    <w:rsid w:val="00B74C62"/>
    <w:rsid w:val="00B80EB8"/>
    <w:rsid w:val="00B8105D"/>
    <w:rsid w:val="00B8154E"/>
    <w:rsid w:val="00B82034"/>
    <w:rsid w:val="00B83114"/>
    <w:rsid w:val="00B840C2"/>
    <w:rsid w:val="00B84601"/>
    <w:rsid w:val="00B85E54"/>
    <w:rsid w:val="00B8756F"/>
    <w:rsid w:val="00B91983"/>
    <w:rsid w:val="00B94133"/>
    <w:rsid w:val="00B94900"/>
    <w:rsid w:val="00B94EED"/>
    <w:rsid w:val="00BA0D61"/>
    <w:rsid w:val="00BA2570"/>
    <w:rsid w:val="00BA2EC7"/>
    <w:rsid w:val="00BA42E8"/>
    <w:rsid w:val="00BA53F7"/>
    <w:rsid w:val="00BA5524"/>
    <w:rsid w:val="00BA6C18"/>
    <w:rsid w:val="00BA7D99"/>
    <w:rsid w:val="00BB029D"/>
    <w:rsid w:val="00BB1B5C"/>
    <w:rsid w:val="00BB1F06"/>
    <w:rsid w:val="00BB2223"/>
    <w:rsid w:val="00BB35F3"/>
    <w:rsid w:val="00BB467B"/>
    <w:rsid w:val="00BC0B0D"/>
    <w:rsid w:val="00BC0F46"/>
    <w:rsid w:val="00BC17A2"/>
    <w:rsid w:val="00BC583B"/>
    <w:rsid w:val="00BC6246"/>
    <w:rsid w:val="00BC6E34"/>
    <w:rsid w:val="00BD005D"/>
    <w:rsid w:val="00BD114F"/>
    <w:rsid w:val="00BD2AB5"/>
    <w:rsid w:val="00BD58AF"/>
    <w:rsid w:val="00BD5A25"/>
    <w:rsid w:val="00BD7B7F"/>
    <w:rsid w:val="00BE0FC8"/>
    <w:rsid w:val="00BE1564"/>
    <w:rsid w:val="00BE20DD"/>
    <w:rsid w:val="00BE2FC1"/>
    <w:rsid w:val="00BE416F"/>
    <w:rsid w:val="00BE5DF9"/>
    <w:rsid w:val="00BE7722"/>
    <w:rsid w:val="00BF1168"/>
    <w:rsid w:val="00BF1FCA"/>
    <w:rsid w:val="00BF4525"/>
    <w:rsid w:val="00BF4BBF"/>
    <w:rsid w:val="00BF6222"/>
    <w:rsid w:val="00BF6B91"/>
    <w:rsid w:val="00BF6C5E"/>
    <w:rsid w:val="00C00933"/>
    <w:rsid w:val="00C0279D"/>
    <w:rsid w:val="00C0410A"/>
    <w:rsid w:val="00C042A0"/>
    <w:rsid w:val="00C05400"/>
    <w:rsid w:val="00C06585"/>
    <w:rsid w:val="00C11195"/>
    <w:rsid w:val="00C15131"/>
    <w:rsid w:val="00C15F93"/>
    <w:rsid w:val="00C160B0"/>
    <w:rsid w:val="00C203B5"/>
    <w:rsid w:val="00C21C74"/>
    <w:rsid w:val="00C21C7D"/>
    <w:rsid w:val="00C21C89"/>
    <w:rsid w:val="00C24288"/>
    <w:rsid w:val="00C253CB"/>
    <w:rsid w:val="00C27124"/>
    <w:rsid w:val="00C27F8E"/>
    <w:rsid w:val="00C30C22"/>
    <w:rsid w:val="00C3136F"/>
    <w:rsid w:val="00C326FC"/>
    <w:rsid w:val="00C33B7E"/>
    <w:rsid w:val="00C34C3F"/>
    <w:rsid w:val="00C356C9"/>
    <w:rsid w:val="00C40290"/>
    <w:rsid w:val="00C40487"/>
    <w:rsid w:val="00C43272"/>
    <w:rsid w:val="00C43F4C"/>
    <w:rsid w:val="00C44D6D"/>
    <w:rsid w:val="00C452DA"/>
    <w:rsid w:val="00C467A7"/>
    <w:rsid w:val="00C479AB"/>
    <w:rsid w:val="00C50139"/>
    <w:rsid w:val="00C50B9E"/>
    <w:rsid w:val="00C53169"/>
    <w:rsid w:val="00C53F34"/>
    <w:rsid w:val="00C54F0A"/>
    <w:rsid w:val="00C55702"/>
    <w:rsid w:val="00C559E8"/>
    <w:rsid w:val="00C560FA"/>
    <w:rsid w:val="00C57150"/>
    <w:rsid w:val="00C57D78"/>
    <w:rsid w:val="00C60210"/>
    <w:rsid w:val="00C60C2E"/>
    <w:rsid w:val="00C62FAA"/>
    <w:rsid w:val="00C63C18"/>
    <w:rsid w:val="00C67B85"/>
    <w:rsid w:val="00C70203"/>
    <w:rsid w:val="00C70D88"/>
    <w:rsid w:val="00C7273D"/>
    <w:rsid w:val="00C7280E"/>
    <w:rsid w:val="00C73307"/>
    <w:rsid w:val="00C73A17"/>
    <w:rsid w:val="00C74364"/>
    <w:rsid w:val="00C7554F"/>
    <w:rsid w:val="00C75F62"/>
    <w:rsid w:val="00C76688"/>
    <w:rsid w:val="00C82E6C"/>
    <w:rsid w:val="00C8318A"/>
    <w:rsid w:val="00C83B53"/>
    <w:rsid w:val="00C83DCB"/>
    <w:rsid w:val="00C85CDE"/>
    <w:rsid w:val="00C85D81"/>
    <w:rsid w:val="00C86085"/>
    <w:rsid w:val="00C864EF"/>
    <w:rsid w:val="00C868F7"/>
    <w:rsid w:val="00C870A9"/>
    <w:rsid w:val="00C878D9"/>
    <w:rsid w:val="00C913E1"/>
    <w:rsid w:val="00C918D1"/>
    <w:rsid w:val="00C9296E"/>
    <w:rsid w:val="00C945D0"/>
    <w:rsid w:val="00C94B83"/>
    <w:rsid w:val="00C95D17"/>
    <w:rsid w:val="00C96B5B"/>
    <w:rsid w:val="00C9778C"/>
    <w:rsid w:val="00C977B4"/>
    <w:rsid w:val="00CA005F"/>
    <w:rsid w:val="00CA0446"/>
    <w:rsid w:val="00CA0CA4"/>
    <w:rsid w:val="00CA0EBC"/>
    <w:rsid w:val="00CA2685"/>
    <w:rsid w:val="00CA28E3"/>
    <w:rsid w:val="00CA3123"/>
    <w:rsid w:val="00CA3CFF"/>
    <w:rsid w:val="00CA51B3"/>
    <w:rsid w:val="00CA630A"/>
    <w:rsid w:val="00CB1685"/>
    <w:rsid w:val="00CB1CB3"/>
    <w:rsid w:val="00CB2191"/>
    <w:rsid w:val="00CB2FF5"/>
    <w:rsid w:val="00CB4781"/>
    <w:rsid w:val="00CB749E"/>
    <w:rsid w:val="00CC0522"/>
    <w:rsid w:val="00CC061E"/>
    <w:rsid w:val="00CC0A78"/>
    <w:rsid w:val="00CC0B61"/>
    <w:rsid w:val="00CC128B"/>
    <w:rsid w:val="00CC35DE"/>
    <w:rsid w:val="00CC3BAB"/>
    <w:rsid w:val="00CC4F3A"/>
    <w:rsid w:val="00CC5285"/>
    <w:rsid w:val="00CC546A"/>
    <w:rsid w:val="00CC5855"/>
    <w:rsid w:val="00CC66C4"/>
    <w:rsid w:val="00CC6BDF"/>
    <w:rsid w:val="00CC6CBE"/>
    <w:rsid w:val="00CD04E9"/>
    <w:rsid w:val="00CD20F9"/>
    <w:rsid w:val="00CD368D"/>
    <w:rsid w:val="00CD49AC"/>
    <w:rsid w:val="00CD4F22"/>
    <w:rsid w:val="00CD6847"/>
    <w:rsid w:val="00CD720F"/>
    <w:rsid w:val="00CE094E"/>
    <w:rsid w:val="00CE1A9E"/>
    <w:rsid w:val="00CE1EE0"/>
    <w:rsid w:val="00CE4D77"/>
    <w:rsid w:val="00CE5100"/>
    <w:rsid w:val="00CE722C"/>
    <w:rsid w:val="00CE76A7"/>
    <w:rsid w:val="00CE7869"/>
    <w:rsid w:val="00CF1AAB"/>
    <w:rsid w:val="00CF1B97"/>
    <w:rsid w:val="00CF2F17"/>
    <w:rsid w:val="00CF47C7"/>
    <w:rsid w:val="00CF4F88"/>
    <w:rsid w:val="00CF51A1"/>
    <w:rsid w:val="00CF6606"/>
    <w:rsid w:val="00CF789A"/>
    <w:rsid w:val="00CF7966"/>
    <w:rsid w:val="00CF7CEC"/>
    <w:rsid w:val="00CF7E74"/>
    <w:rsid w:val="00D0022D"/>
    <w:rsid w:val="00D00EDF"/>
    <w:rsid w:val="00D01581"/>
    <w:rsid w:val="00D01976"/>
    <w:rsid w:val="00D02F73"/>
    <w:rsid w:val="00D060FD"/>
    <w:rsid w:val="00D061B7"/>
    <w:rsid w:val="00D061CB"/>
    <w:rsid w:val="00D064C6"/>
    <w:rsid w:val="00D10886"/>
    <w:rsid w:val="00D139A8"/>
    <w:rsid w:val="00D14399"/>
    <w:rsid w:val="00D14E02"/>
    <w:rsid w:val="00D1579E"/>
    <w:rsid w:val="00D15BE6"/>
    <w:rsid w:val="00D15E27"/>
    <w:rsid w:val="00D16FED"/>
    <w:rsid w:val="00D17C57"/>
    <w:rsid w:val="00D20CE5"/>
    <w:rsid w:val="00D217B0"/>
    <w:rsid w:val="00D26D80"/>
    <w:rsid w:val="00D27757"/>
    <w:rsid w:val="00D27772"/>
    <w:rsid w:val="00D27C4C"/>
    <w:rsid w:val="00D27F22"/>
    <w:rsid w:val="00D30AFE"/>
    <w:rsid w:val="00D314EC"/>
    <w:rsid w:val="00D34A8E"/>
    <w:rsid w:val="00D353D9"/>
    <w:rsid w:val="00D35DCA"/>
    <w:rsid w:val="00D36974"/>
    <w:rsid w:val="00D42318"/>
    <w:rsid w:val="00D42BBD"/>
    <w:rsid w:val="00D43085"/>
    <w:rsid w:val="00D43ABF"/>
    <w:rsid w:val="00D444D2"/>
    <w:rsid w:val="00D449E4"/>
    <w:rsid w:val="00D44E1C"/>
    <w:rsid w:val="00D44E7E"/>
    <w:rsid w:val="00D513E1"/>
    <w:rsid w:val="00D52E6B"/>
    <w:rsid w:val="00D53288"/>
    <w:rsid w:val="00D5508A"/>
    <w:rsid w:val="00D557D1"/>
    <w:rsid w:val="00D55E70"/>
    <w:rsid w:val="00D56EBD"/>
    <w:rsid w:val="00D57F70"/>
    <w:rsid w:val="00D60559"/>
    <w:rsid w:val="00D606FD"/>
    <w:rsid w:val="00D62546"/>
    <w:rsid w:val="00D626EC"/>
    <w:rsid w:val="00D63806"/>
    <w:rsid w:val="00D64939"/>
    <w:rsid w:val="00D6496E"/>
    <w:rsid w:val="00D6611C"/>
    <w:rsid w:val="00D7139D"/>
    <w:rsid w:val="00D720E1"/>
    <w:rsid w:val="00D735D0"/>
    <w:rsid w:val="00D747A2"/>
    <w:rsid w:val="00D754BD"/>
    <w:rsid w:val="00D75867"/>
    <w:rsid w:val="00D80DC0"/>
    <w:rsid w:val="00D81BF8"/>
    <w:rsid w:val="00D84C6B"/>
    <w:rsid w:val="00D855B4"/>
    <w:rsid w:val="00D858EC"/>
    <w:rsid w:val="00D85E80"/>
    <w:rsid w:val="00D9050A"/>
    <w:rsid w:val="00D906C5"/>
    <w:rsid w:val="00D91D67"/>
    <w:rsid w:val="00D93517"/>
    <w:rsid w:val="00D95679"/>
    <w:rsid w:val="00D97F24"/>
    <w:rsid w:val="00DA04B2"/>
    <w:rsid w:val="00DA0B91"/>
    <w:rsid w:val="00DA2629"/>
    <w:rsid w:val="00DA278D"/>
    <w:rsid w:val="00DA2D99"/>
    <w:rsid w:val="00DA3BCC"/>
    <w:rsid w:val="00DA5CC0"/>
    <w:rsid w:val="00DB2FFC"/>
    <w:rsid w:val="00DB317D"/>
    <w:rsid w:val="00DB6CF4"/>
    <w:rsid w:val="00DB6D56"/>
    <w:rsid w:val="00DC14C6"/>
    <w:rsid w:val="00DC5678"/>
    <w:rsid w:val="00DD0F87"/>
    <w:rsid w:val="00DD27BD"/>
    <w:rsid w:val="00DD3348"/>
    <w:rsid w:val="00DD3623"/>
    <w:rsid w:val="00DD3C13"/>
    <w:rsid w:val="00DD42D7"/>
    <w:rsid w:val="00DD6048"/>
    <w:rsid w:val="00DD7A24"/>
    <w:rsid w:val="00DD7FA1"/>
    <w:rsid w:val="00DE0440"/>
    <w:rsid w:val="00DE067D"/>
    <w:rsid w:val="00DE1CE7"/>
    <w:rsid w:val="00DE349D"/>
    <w:rsid w:val="00DE5307"/>
    <w:rsid w:val="00DF01DF"/>
    <w:rsid w:val="00DF0C75"/>
    <w:rsid w:val="00DF0DE9"/>
    <w:rsid w:val="00DF28FF"/>
    <w:rsid w:val="00DF290D"/>
    <w:rsid w:val="00DF299C"/>
    <w:rsid w:val="00DF3066"/>
    <w:rsid w:val="00E06021"/>
    <w:rsid w:val="00E06C11"/>
    <w:rsid w:val="00E07FA8"/>
    <w:rsid w:val="00E100B8"/>
    <w:rsid w:val="00E107E6"/>
    <w:rsid w:val="00E1089D"/>
    <w:rsid w:val="00E10D65"/>
    <w:rsid w:val="00E121A4"/>
    <w:rsid w:val="00E1228E"/>
    <w:rsid w:val="00E13220"/>
    <w:rsid w:val="00E1357F"/>
    <w:rsid w:val="00E13C57"/>
    <w:rsid w:val="00E13E57"/>
    <w:rsid w:val="00E1439E"/>
    <w:rsid w:val="00E153C9"/>
    <w:rsid w:val="00E16503"/>
    <w:rsid w:val="00E166BD"/>
    <w:rsid w:val="00E16951"/>
    <w:rsid w:val="00E179D4"/>
    <w:rsid w:val="00E20A86"/>
    <w:rsid w:val="00E210F0"/>
    <w:rsid w:val="00E216CE"/>
    <w:rsid w:val="00E2434C"/>
    <w:rsid w:val="00E27096"/>
    <w:rsid w:val="00E314F7"/>
    <w:rsid w:val="00E34A3A"/>
    <w:rsid w:val="00E34DC0"/>
    <w:rsid w:val="00E350E4"/>
    <w:rsid w:val="00E36E27"/>
    <w:rsid w:val="00E36FF5"/>
    <w:rsid w:val="00E40588"/>
    <w:rsid w:val="00E43419"/>
    <w:rsid w:val="00E43ADE"/>
    <w:rsid w:val="00E442FC"/>
    <w:rsid w:val="00E4488C"/>
    <w:rsid w:val="00E45356"/>
    <w:rsid w:val="00E45818"/>
    <w:rsid w:val="00E45D12"/>
    <w:rsid w:val="00E469F1"/>
    <w:rsid w:val="00E47576"/>
    <w:rsid w:val="00E50D29"/>
    <w:rsid w:val="00E57376"/>
    <w:rsid w:val="00E642CF"/>
    <w:rsid w:val="00E6525B"/>
    <w:rsid w:val="00E65B0A"/>
    <w:rsid w:val="00E65F58"/>
    <w:rsid w:val="00E66442"/>
    <w:rsid w:val="00E67131"/>
    <w:rsid w:val="00E672EA"/>
    <w:rsid w:val="00E7249F"/>
    <w:rsid w:val="00E7261A"/>
    <w:rsid w:val="00E72923"/>
    <w:rsid w:val="00E73306"/>
    <w:rsid w:val="00E7760C"/>
    <w:rsid w:val="00E77711"/>
    <w:rsid w:val="00E8045A"/>
    <w:rsid w:val="00E8144A"/>
    <w:rsid w:val="00E8262F"/>
    <w:rsid w:val="00E8640A"/>
    <w:rsid w:val="00E87B07"/>
    <w:rsid w:val="00E87FFD"/>
    <w:rsid w:val="00E90643"/>
    <w:rsid w:val="00E9203A"/>
    <w:rsid w:val="00E93E88"/>
    <w:rsid w:val="00E9466D"/>
    <w:rsid w:val="00EA0865"/>
    <w:rsid w:val="00EA1618"/>
    <w:rsid w:val="00EA1A59"/>
    <w:rsid w:val="00EA2B80"/>
    <w:rsid w:val="00EA3A42"/>
    <w:rsid w:val="00EA51B2"/>
    <w:rsid w:val="00EA693E"/>
    <w:rsid w:val="00EA7752"/>
    <w:rsid w:val="00EB0018"/>
    <w:rsid w:val="00EB064D"/>
    <w:rsid w:val="00EB071F"/>
    <w:rsid w:val="00EB1590"/>
    <w:rsid w:val="00EB2C12"/>
    <w:rsid w:val="00EB3022"/>
    <w:rsid w:val="00EB3259"/>
    <w:rsid w:val="00EB563E"/>
    <w:rsid w:val="00EB5FB5"/>
    <w:rsid w:val="00EB79CC"/>
    <w:rsid w:val="00EC18F6"/>
    <w:rsid w:val="00EC4A0D"/>
    <w:rsid w:val="00EC4B43"/>
    <w:rsid w:val="00ED1B42"/>
    <w:rsid w:val="00ED1F25"/>
    <w:rsid w:val="00ED20F1"/>
    <w:rsid w:val="00ED23D8"/>
    <w:rsid w:val="00ED388D"/>
    <w:rsid w:val="00ED43C0"/>
    <w:rsid w:val="00ED4487"/>
    <w:rsid w:val="00ED4B7E"/>
    <w:rsid w:val="00EE015A"/>
    <w:rsid w:val="00EE045D"/>
    <w:rsid w:val="00EE188E"/>
    <w:rsid w:val="00EE365F"/>
    <w:rsid w:val="00EE56E0"/>
    <w:rsid w:val="00EF014E"/>
    <w:rsid w:val="00EF0809"/>
    <w:rsid w:val="00EF4939"/>
    <w:rsid w:val="00EF4A10"/>
    <w:rsid w:val="00EF6544"/>
    <w:rsid w:val="00EF77B3"/>
    <w:rsid w:val="00EF7F6D"/>
    <w:rsid w:val="00F00041"/>
    <w:rsid w:val="00F02A9B"/>
    <w:rsid w:val="00F0333A"/>
    <w:rsid w:val="00F0416C"/>
    <w:rsid w:val="00F04524"/>
    <w:rsid w:val="00F0463E"/>
    <w:rsid w:val="00F04F9D"/>
    <w:rsid w:val="00F050F6"/>
    <w:rsid w:val="00F0643C"/>
    <w:rsid w:val="00F06635"/>
    <w:rsid w:val="00F10AD2"/>
    <w:rsid w:val="00F1310B"/>
    <w:rsid w:val="00F16251"/>
    <w:rsid w:val="00F16D7E"/>
    <w:rsid w:val="00F174A9"/>
    <w:rsid w:val="00F17792"/>
    <w:rsid w:val="00F209DD"/>
    <w:rsid w:val="00F21124"/>
    <w:rsid w:val="00F21283"/>
    <w:rsid w:val="00F22C16"/>
    <w:rsid w:val="00F2579A"/>
    <w:rsid w:val="00F25E6F"/>
    <w:rsid w:val="00F27256"/>
    <w:rsid w:val="00F32B1E"/>
    <w:rsid w:val="00F3344B"/>
    <w:rsid w:val="00F33BE0"/>
    <w:rsid w:val="00F343EB"/>
    <w:rsid w:val="00F34890"/>
    <w:rsid w:val="00F34D97"/>
    <w:rsid w:val="00F3571E"/>
    <w:rsid w:val="00F42217"/>
    <w:rsid w:val="00F43297"/>
    <w:rsid w:val="00F439C9"/>
    <w:rsid w:val="00F47FE5"/>
    <w:rsid w:val="00F52D84"/>
    <w:rsid w:val="00F54E44"/>
    <w:rsid w:val="00F55DCE"/>
    <w:rsid w:val="00F60745"/>
    <w:rsid w:val="00F641F3"/>
    <w:rsid w:val="00F64886"/>
    <w:rsid w:val="00F64E3A"/>
    <w:rsid w:val="00F6511F"/>
    <w:rsid w:val="00F6538F"/>
    <w:rsid w:val="00F65634"/>
    <w:rsid w:val="00F6742A"/>
    <w:rsid w:val="00F71D7B"/>
    <w:rsid w:val="00F7232D"/>
    <w:rsid w:val="00F72E81"/>
    <w:rsid w:val="00F7551C"/>
    <w:rsid w:val="00F75AD8"/>
    <w:rsid w:val="00F75B43"/>
    <w:rsid w:val="00F77FF3"/>
    <w:rsid w:val="00F81321"/>
    <w:rsid w:val="00F81E33"/>
    <w:rsid w:val="00F8329C"/>
    <w:rsid w:val="00F843CB"/>
    <w:rsid w:val="00F845F9"/>
    <w:rsid w:val="00F85062"/>
    <w:rsid w:val="00F855A5"/>
    <w:rsid w:val="00F855C3"/>
    <w:rsid w:val="00F85F14"/>
    <w:rsid w:val="00F86F2B"/>
    <w:rsid w:val="00F91B36"/>
    <w:rsid w:val="00F9297D"/>
    <w:rsid w:val="00F93437"/>
    <w:rsid w:val="00F94571"/>
    <w:rsid w:val="00F96637"/>
    <w:rsid w:val="00F9739D"/>
    <w:rsid w:val="00FA04AE"/>
    <w:rsid w:val="00FA1D35"/>
    <w:rsid w:val="00FA2FEA"/>
    <w:rsid w:val="00FA6C2B"/>
    <w:rsid w:val="00FA6E55"/>
    <w:rsid w:val="00FB0CDE"/>
    <w:rsid w:val="00FB20A3"/>
    <w:rsid w:val="00FB353E"/>
    <w:rsid w:val="00FB3635"/>
    <w:rsid w:val="00FB4881"/>
    <w:rsid w:val="00FB5A43"/>
    <w:rsid w:val="00FB5CE5"/>
    <w:rsid w:val="00FB7B9E"/>
    <w:rsid w:val="00FB7BCC"/>
    <w:rsid w:val="00FC039E"/>
    <w:rsid w:val="00FC0CC9"/>
    <w:rsid w:val="00FC0E9B"/>
    <w:rsid w:val="00FC172E"/>
    <w:rsid w:val="00FC2DA4"/>
    <w:rsid w:val="00FC2EB5"/>
    <w:rsid w:val="00FC75D0"/>
    <w:rsid w:val="00FC78BD"/>
    <w:rsid w:val="00FC7E4B"/>
    <w:rsid w:val="00FD036C"/>
    <w:rsid w:val="00FD0CB7"/>
    <w:rsid w:val="00FD24FD"/>
    <w:rsid w:val="00FD2FC2"/>
    <w:rsid w:val="00FD3BDC"/>
    <w:rsid w:val="00FD4663"/>
    <w:rsid w:val="00FD4D1D"/>
    <w:rsid w:val="00FD4E1B"/>
    <w:rsid w:val="00FD5297"/>
    <w:rsid w:val="00FD5779"/>
    <w:rsid w:val="00FD6F84"/>
    <w:rsid w:val="00FD7E43"/>
    <w:rsid w:val="00FE0F20"/>
    <w:rsid w:val="00FE0F89"/>
    <w:rsid w:val="00FE11BF"/>
    <w:rsid w:val="00FE1280"/>
    <w:rsid w:val="00FE239E"/>
    <w:rsid w:val="00FE2567"/>
    <w:rsid w:val="00FE3A8E"/>
    <w:rsid w:val="00FE65F1"/>
    <w:rsid w:val="00FE6A16"/>
    <w:rsid w:val="00FE737D"/>
    <w:rsid w:val="00FE75C2"/>
    <w:rsid w:val="00FF1850"/>
    <w:rsid w:val="00FF1F7F"/>
    <w:rsid w:val="00FF261E"/>
    <w:rsid w:val="00FF433C"/>
    <w:rsid w:val="00FF4770"/>
    <w:rsid w:val="00FF493A"/>
    <w:rsid w:val="00FF4C1C"/>
    <w:rsid w:val="00FF4CEE"/>
    <w:rsid w:val="00FF7034"/>
    <w:rsid w:val="00FF7904"/>
    <w:rsid w:val="00FF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87F73D"/>
  <w15:chartTrackingRefBased/>
  <w15:docId w15:val="{3B3B4932-B9C8-4541-96DD-47E5A4340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D09"/>
    <w:pPr>
      <w:spacing w:line="288" w:lineRule="auto"/>
    </w:pPr>
    <w:rPr>
      <w:color w:val="404040" w:themeColor="text1" w:themeTint="BF"/>
    </w:rPr>
  </w:style>
  <w:style w:type="paragraph" w:styleId="Heading1">
    <w:name w:val="heading 1"/>
    <w:basedOn w:val="Heading2"/>
    <w:next w:val="Normal"/>
    <w:link w:val="Heading1Char"/>
    <w:uiPriority w:val="9"/>
    <w:qFormat/>
    <w:rsid w:val="00115408"/>
    <w:pPr>
      <w:spacing w:before="360" w:after="120"/>
      <w:outlineLvl w:val="0"/>
    </w:pPr>
    <w:rPr>
      <w:sz w:val="42"/>
      <w:szCs w:val="42"/>
    </w:rPr>
  </w:style>
  <w:style w:type="paragraph" w:styleId="Heading2">
    <w:name w:val="heading 2"/>
    <w:basedOn w:val="Normal"/>
    <w:next w:val="Normal"/>
    <w:link w:val="Heading2Char"/>
    <w:uiPriority w:val="9"/>
    <w:unhideWhenUsed/>
    <w:qFormat/>
    <w:rsid w:val="00F7551C"/>
    <w:pPr>
      <w:keepNext/>
      <w:keepLines/>
      <w:spacing w:before="100" w:beforeAutospacing="1"/>
      <w:outlineLvl w:val="1"/>
    </w:pPr>
    <w:rPr>
      <w:rFonts w:asciiTheme="majorHAnsi" w:eastAsiaTheme="majorEastAsia" w:hAnsiTheme="majorHAnsi" w:cstheme="majorBidi"/>
      <w:color w:val="20422A" w:themeColor="accent1"/>
      <w:sz w:val="34"/>
      <w:szCs w:val="34"/>
    </w:rPr>
  </w:style>
  <w:style w:type="paragraph" w:styleId="Heading3">
    <w:name w:val="heading 3"/>
    <w:basedOn w:val="Normal"/>
    <w:next w:val="Normal"/>
    <w:link w:val="Heading3Char"/>
    <w:uiPriority w:val="9"/>
    <w:unhideWhenUsed/>
    <w:qFormat/>
    <w:rsid w:val="00822EDF"/>
    <w:pPr>
      <w:keepNext/>
      <w:outlineLvl w:val="2"/>
    </w:pPr>
    <w:rPr>
      <w:rFonts w:asciiTheme="majorHAnsi" w:eastAsiaTheme="majorEastAsia" w:hAnsiTheme="majorHAnsi" w:cstheme="majorBidi"/>
      <w:iCs/>
      <w:color w:val="697200" w:themeColor="accent2" w:themeShade="BF"/>
      <w:sz w:val="28"/>
      <w:szCs w:val="28"/>
    </w:rPr>
  </w:style>
  <w:style w:type="paragraph" w:styleId="Heading4">
    <w:name w:val="heading 4"/>
    <w:basedOn w:val="Normal"/>
    <w:next w:val="Normal"/>
    <w:link w:val="Heading4Char"/>
    <w:uiPriority w:val="9"/>
    <w:unhideWhenUsed/>
    <w:qFormat/>
    <w:rsid w:val="00593635"/>
    <w:pPr>
      <w:keepNext/>
      <w:keepLines/>
      <w:spacing w:before="100" w:beforeAutospacing="1" w:after="120"/>
      <w:outlineLvl w:val="3"/>
    </w:pPr>
    <w:rPr>
      <w:rFonts w:asciiTheme="majorHAnsi" w:eastAsiaTheme="majorEastAsia" w:hAnsiTheme="majorHAnsi" w:cstheme="majorBidi"/>
      <w:i/>
      <w:iCs/>
      <w:color w:val="20422A" w:themeColor="accent1"/>
      <w:sz w:val="24"/>
      <w:szCs w:val="24"/>
    </w:rPr>
  </w:style>
  <w:style w:type="paragraph" w:styleId="Heading5">
    <w:name w:val="heading 5"/>
    <w:basedOn w:val="Normal"/>
    <w:next w:val="Normal"/>
    <w:link w:val="Heading5Char"/>
    <w:uiPriority w:val="9"/>
    <w:unhideWhenUsed/>
    <w:qFormat/>
    <w:rsid w:val="00115408"/>
    <w:pPr>
      <w:keepNext/>
      <w:keepLines/>
      <w:spacing w:before="40" w:after="0"/>
      <w:outlineLvl w:val="4"/>
    </w:pPr>
    <w:rPr>
      <w:rFonts w:asciiTheme="majorHAnsi" w:eastAsiaTheme="majorEastAsia" w:hAnsiTheme="majorHAnsi" w:cstheme="majorBidi"/>
      <w:color w:val="418756" w:themeColor="accen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86D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6D0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15408"/>
    <w:rPr>
      <w:rFonts w:asciiTheme="majorHAnsi" w:eastAsiaTheme="majorEastAsia" w:hAnsiTheme="majorHAnsi" w:cstheme="majorBidi"/>
      <w:color w:val="20422A" w:themeColor="accent1"/>
      <w:sz w:val="42"/>
      <w:szCs w:val="42"/>
    </w:rPr>
  </w:style>
  <w:style w:type="character" w:customStyle="1" w:styleId="Heading2Char">
    <w:name w:val="Heading 2 Char"/>
    <w:basedOn w:val="DefaultParagraphFont"/>
    <w:link w:val="Heading2"/>
    <w:uiPriority w:val="9"/>
    <w:rsid w:val="00F7551C"/>
    <w:rPr>
      <w:rFonts w:asciiTheme="majorHAnsi" w:eastAsiaTheme="majorEastAsia" w:hAnsiTheme="majorHAnsi" w:cstheme="majorBidi"/>
      <w:color w:val="20422A" w:themeColor="accent1"/>
      <w:sz w:val="34"/>
      <w:szCs w:val="34"/>
    </w:rPr>
  </w:style>
  <w:style w:type="character" w:customStyle="1" w:styleId="Heading3Char">
    <w:name w:val="Heading 3 Char"/>
    <w:basedOn w:val="DefaultParagraphFont"/>
    <w:link w:val="Heading3"/>
    <w:uiPriority w:val="9"/>
    <w:rsid w:val="00822EDF"/>
    <w:rPr>
      <w:rFonts w:asciiTheme="majorHAnsi" w:eastAsiaTheme="majorEastAsia" w:hAnsiTheme="majorHAnsi" w:cstheme="majorBidi"/>
      <w:iCs/>
      <w:color w:val="697200" w:themeColor="accent2" w:themeShade="BF"/>
      <w:sz w:val="28"/>
      <w:szCs w:val="28"/>
    </w:rPr>
  </w:style>
  <w:style w:type="character" w:customStyle="1" w:styleId="Heading4Char">
    <w:name w:val="Heading 4 Char"/>
    <w:basedOn w:val="DefaultParagraphFont"/>
    <w:link w:val="Heading4"/>
    <w:uiPriority w:val="9"/>
    <w:rsid w:val="00593635"/>
    <w:rPr>
      <w:rFonts w:asciiTheme="majorHAnsi" w:eastAsiaTheme="majorEastAsia" w:hAnsiTheme="majorHAnsi" w:cstheme="majorBidi"/>
      <w:i/>
      <w:iCs/>
      <w:color w:val="20422A" w:themeColor="accent1"/>
      <w:sz w:val="24"/>
      <w:szCs w:val="24"/>
    </w:rPr>
  </w:style>
  <w:style w:type="character" w:customStyle="1" w:styleId="Heading5Char">
    <w:name w:val="Heading 5 Char"/>
    <w:basedOn w:val="DefaultParagraphFont"/>
    <w:link w:val="Heading5"/>
    <w:uiPriority w:val="9"/>
    <w:rsid w:val="00115408"/>
    <w:rPr>
      <w:rFonts w:asciiTheme="majorHAnsi" w:eastAsiaTheme="majorEastAsia" w:hAnsiTheme="majorHAnsi" w:cstheme="majorBidi"/>
      <w:color w:val="418756" w:themeColor="accent1" w:themeTint="BF"/>
    </w:rPr>
  </w:style>
  <w:style w:type="paragraph" w:customStyle="1" w:styleId="FigureNumber">
    <w:name w:val="Figure Number"/>
    <w:basedOn w:val="Normal"/>
    <w:qFormat/>
    <w:rsid w:val="001B1689"/>
    <w:pPr>
      <w:keepNext/>
      <w:keepLines/>
      <w:numPr>
        <w:numId w:val="1"/>
      </w:numPr>
      <w:spacing w:before="360" w:after="20"/>
    </w:pPr>
    <w:rPr>
      <w:rFonts w:ascii="Franklin Gothic Book" w:eastAsia="Georgia" w:hAnsi="Franklin Gothic Book" w:cs="Times New Roman"/>
      <w:color w:val="7F7F7F"/>
      <w:sz w:val="18"/>
    </w:rPr>
  </w:style>
  <w:style w:type="paragraph" w:customStyle="1" w:styleId="Charttitle">
    <w:name w:val="Chart title"/>
    <w:basedOn w:val="Normal"/>
    <w:qFormat/>
    <w:rsid w:val="00A7221C"/>
    <w:pPr>
      <w:spacing w:after="0"/>
    </w:pPr>
    <w:rPr>
      <w:rFonts w:asciiTheme="majorHAnsi" w:hAnsiTheme="majorHAnsi"/>
      <w:b/>
      <w:sz w:val="24"/>
      <w:szCs w:val="24"/>
    </w:rPr>
  </w:style>
  <w:style w:type="paragraph" w:styleId="ListParagraph">
    <w:name w:val="List Paragraph"/>
    <w:basedOn w:val="Normal"/>
    <w:uiPriority w:val="34"/>
    <w:qFormat/>
    <w:rsid w:val="006818B6"/>
    <w:pPr>
      <w:spacing w:before="60" w:after="0"/>
      <w:ind w:left="720"/>
    </w:pPr>
  </w:style>
  <w:style w:type="table" w:customStyle="1" w:styleId="GridTable4-Accent51">
    <w:name w:val="Grid Table 4 - Accent 51"/>
    <w:basedOn w:val="TableNormal"/>
    <w:uiPriority w:val="49"/>
    <w:rsid w:val="0036137D"/>
    <w:pPr>
      <w:spacing w:after="0" w:line="240" w:lineRule="auto"/>
    </w:pPr>
    <w:rPr>
      <w:rFonts w:ascii="Arial" w:eastAsiaTheme="minorEastAsia" w:hAnsi="Arial"/>
      <w:color w:val="44546A" w:themeColor="text2"/>
      <w:sz w:val="20"/>
      <w:szCs w:val="20"/>
      <w:lang w:eastAsia="ja-JP"/>
    </w:rPr>
    <w:tblPr>
      <w:tblStyleRowBandSize w:val="1"/>
      <w:tblStyleColBandSize w:val="1"/>
      <w:tblBorders>
        <w:top w:val="single" w:sz="4" w:space="0" w:color="8496B0" w:themeColor="accent5" w:themeTint="99"/>
        <w:left w:val="single" w:sz="4" w:space="0" w:color="8496B0" w:themeColor="accent5" w:themeTint="99"/>
        <w:bottom w:val="single" w:sz="4" w:space="0" w:color="8496B0" w:themeColor="accent5" w:themeTint="99"/>
        <w:right w:val="single" w:sz="4" w:space="0" w:color="8496B0" w:themeColor="accent5" w:themeTint="99"/>
        <w:insideH w:val="single" w:sz="4" w:space="0" w:color="8496B0" w:themeColor="accent5" w:themeTint="99"/>
        <w:insideV w:val="single" w:sz="4" w:space="0" w:color="8496B0" w:themeColor="accent5" w:themeTint="99"/>
      </w:tblBorders>
    </w:tblPr>
    <w:tblStylePr w:type="firstRow">
      <w:rPr>
        <w:b/>
        <w:bCs/>
        <w:color w:val="FFFFFF" w:themeColor="background1"/>
      </w:rPr>
      <w:tblPr/>
      <w:tcPr>
        <w:tcBorders>
          <w:top w:val="single" w:sz="4" w:space="0" w:color="44546A" w:themeColor="accent5"/>
          <w:left w:val="single" w:sz="4" w:space="0" w:color="44546A" w:themeColor="accent5"/>
          <w:bottom w:val="single" w:sz="4" w:space="0" w:color="44546A" w:themeColor="accent5"/>
          <w:right w:val="single" w:sz="4" w:space="0" w:color="44546A" w:themeColor="accent5"/>
          <w:insideH w:val="nil"/>
          <w:insideV w:val="nil"/>
        </w:tcBorders>
        <w:shd w:val="clear" w:color="auto" w:fill="44546A" w:themeFill="accent5"/>
      </w:tcPr>
    </w:tblStylePr>
    <w:tblStylePr w:type="lastRow">
      <w:rPr>
        <w:b/>
        <w:bCs/>
      </w:rPr>
      <w:tblPr/>
      <w:tcPr>
        <w:tcBorders>
          <w:top w:val="double" w:sz="4" w:space="0" w:color="44546A" w:themeColor="accent5"/>
        </w:tcBorders>
      </w:tcPr>
    </w:tblStylePr>
    <w:tblStylePr w:type="firstCol">
      <w:rPr>
        <w:b/>
        <w:bCs/>
      </w:rPr>
    </w:tblStylePr>
    <w:tblStylePr w:type="lastCol">
      <w:rPr>
        <w:b/>
        <w:bCs/>
      </w:rPr>
    </w:tblStylePr>
    <w:tblStylePr w:type="band1Vert">
      <w:tblPr/>
      <w:tcPr>
        <w:shd w:val="clear" w:color="auto" w:fill="D5DCE4" w:themeFill="accent5" w:themeFillTint="33"/>
      </w:tcPr>
    </w:tblStylePr>
    <w:tblStylePr w:type="band1Horz">
      <w:tblPr/>
      <w:tcPr>
        <w:shd w:val="clear" w:color="auto" w:fill="EFF2F5"/>
      </w:tcPr>
    </w:tblStylePr>
  </w:style>
  <w:style w:type="table" w:styleId="GridTable4-Accent1">
    <w:name w:val="Grid Table 4 Accent 1"/>
    <w:basedOn w:val="TableNormal"/>
    <w:uiPriority w:val="49"/>
    <w:rsid w:val="00135C00"/>
    <w:pPr>
      <w:spacing w:after="0" w:line="240" w:lineRule="auto"/>
    </w:pPr>
    <w:tblPr>
      <w:tblStyleRowBandSize w:val="1"/>
      <w:tblStyleColBandSize w:val="1"/>
      <w:tblBorders>
        <w:top w:val="single" w:sz="4" w:space="0" w:color="58AE71" w:themeColor="accent1" w:themeTint="99"/>
        <w:left w:val="single" w:sz="4" w:space="0" w:color="58AE71" w:themeColor="accent1" w:themeTint="99"/>
        <w:bottom w:val="single" w:sz="4" w:space="0" w:color="58AE71" w:themeColor="accent1" w:themeTint="99"/>
        <w:right w:val="single" w:sz="4" w:space="0" w:color="58AE71" w:themeColor="accent1" w:themeTint="99"/>
        <w:insideH w:val="single" w:sz="4" w:space="0" w:color="58AE71" w:themeColor="accent1" w:themeTint="99"/>
        <w:insideV w:val="single" w:sz="4" w:space="0" w:color="58AE71" w:themeColor="accent1" w:themeTint="99"/>
      </w:tblBorders>
    </w:tblPr>
    <w:tblStylePr w:type="firstRow">
      <w:rPr>
        <w:b/>
        <w:bCs/>
        <w:color w:val="FFFFFF" w:themeColor="background1"/>
      </w:rPr>
      <w:tblPr/>
      <w:tcPr>
        <w:tcBorders>
          <w:top w:val="single" w:sz="4" w:space="0" w:color="20422A" w:themeColor="accent1"/>
          <w:left w:val="single" w:sz="4" w:space="0" w:color="20422A" w:themeColor="accent1"/>
          <w:bottom w:val="single" w:sz="4" w:space="0" w:color="20422A" w:themeColor="accent1"/>
          <w:right w:val="single" w:sz="4" w:space="0" w:color="20422A" w:themeColor="accent1"/>
          <w:insideH w:val="nil"/>
          <w:insideV w:val="nil"/>
        </w:tcBorders>
        <w:shd w:val="clear" w:color="auto" w:fill="20422A" w:themeFill="accent1"/>
      </w:tcPr>
    </w:tblStylePr>
    <w:tblStylePr w:type="lastRow">
      <w:rPr>
        <w:b/>
        <w:bCs/>
      </w:rPr>
      <w:tblPr/>
      <w:tcPr>
        <w:tcBorders>
          <w:top w:val="double" w:sz="4" w:space="0" w:color="20422A" w:themeColor="accent1"/>
        </w:tcBorders>
      </w:tcPr>
    </w:tblStylePr>
    <w:tblStylePr w:type="firstCol">
      <w:rPr>
        <w:b/>
        <w:bCs/>
      </w:rPr>
    </w:tblStylePr>
    <w:tblStylePr w:type="lastCol">
      <w:rPr>
        <w:b/>
        <w:bCs/>
      </w:rPr>
    </w:tblStylePr>
    <w:tblStylePr w:type="band1Vert">
      <w:tblPr/>
      <w:tcPr>
        <w:shd w:val="clear" w:color="auto" w:fill="C7E4CF" w:themeFill="accent1" w:themeFillTint="33"/>
      </w:tcPr>
    </w:tblStylePr>
    <w:tblStylePr w:type="band1Horz">
      <w:tblPr/>
      <w:tcPr>
        <w:shd w:val="clear" w:color="auto" w:fill="C7E4CF" w:themeFill="accent1" w:themeFillTint="33"/>
      </w:tcPr>
    </w:tblStylePr>
  </w:style>
  <w:style w:type="table" w:styleId="TableGrid">
    <w:name w:val="Table Grid"/>
    <w:basedOn w:val="TableNormal"/>
    <w:uiPriority w:val="39"/>
    <w:rsid w:val="00C94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25C6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AB5C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C3E"/>
    <w:rPr>
      <w:rFonts w:ascii="Segoe UI" w:hAnsi="Segoe UI" w:cs="Segoe UI"/>
      <w:color w:val="404040" w:themeColor="text1" w:themeTint="BF"/>
      <w:sz w:val="18"/>
      <w:szCs w:val="18"/>
    </w:rPr>
  </w:style>
  <w:style w:type="character" w:styleId="CommentReference">
    <w:name w:val="annotation reference"/>
    <w:basedOn w:val="DefaultParagraphFont"/>
    <w:uiPriority w:val="99"/>
    <w:unhideWhenUsed/>
    <w:rsid w:val="00655145"/>
    <w:rPr>
      <w:sz w:val="16"/>
      <w:szCs w:val="16"/>
    </w:rPr>
  </w:style>
  <w:style w:type="paragraph" w:styleId="CommentText">
    <w:name w:val="annotation text"/>
    <w:basedOn w:val="Normal"/>
    <w:link w:val="CommentTextChar"/>
    <w:uiPriority w:val="99"/>
    <w:unhideWhenUsed/>
    <w:rsid w:val="00655145"/>
    <w:pPr>
      <w:spacing w:line="240" w:lineRule="auto"/>
    </w:pPr>
    <w:rPr>
      <w:sz w:val="20"/>
      <w:szCs w:val="20"/>
    </w:rPr>
  </w:style>
  <w:style w:type="character" w:customStyle="1" w:styleId="CommentTextChar">
    <w:name w:val="Comment Text Char"/>
    <w:basedOn w:val="DefaultParagraphFont"/>
    <w:link w:val="CommentText"/>
    <w:uiPriority w:val="99"/>
    <w:rsid w:val="00655145"/>
    <w:rPr>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655145"/>
    <w:rPr>
      <w:b/>
      <w:bCs/>
    </w:rPr>
  </w:style>
  <w:style w:type="character" w:customStyle="1" w:styleId="CommentSubjectChar">
    <w:name w:val="Comment Subject Char"/>
    <w:basedOn w:val="CommentTextChar"/>
    <w:link w:val="CommentSubject"/>
    <w:uiPriority w:val="99"/>
    <w:semiHidden/>
    <w:rsid w:val="00655145"/>
    <w:rPr>
      <w:b/>
      <w:bCs/>
      <w:color w:val="404040" w:themeColor="text1" w:themeTint="BF"/>
      <w:sz w:val="20"/>
      <w:szCs w:val="20"/>
    </w:rPr>
  </w:style>
  <w:style w:type="paragraph" w:styleId="EndnoteText">
    <w:name w:val="endnote text"/>
    <w:basedOn w:val="Normal"/>
    <w:link w:val="EndnoteTextChar"/>
    <w:uiPriority w:val="99"/>
    <w:semiHidden/>
    <w:unhideWhenUsed/>
    <w:rsid w:val="007E2C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E2CED"/>
    <w:rPr>
      <w:color w:val="404040" w:themeColor="text1" w:themeTint="BF"/>
      <w:sz w:val="20"/>
      <w:szCs w:val="20"/>
    </w:rPr>
  </w:style>
  <w:style w:type="character" w:styleId="EndnoteReference">
    <w:name w:val="endnote reference"/>
    <w:basedOn w:val="DefaultParagraphFont"/>
    <w:uiPriority w:val="99"/>
    <w:semiHidden/>
    <w:unhideWhenUsed/>
    <w:rsid w:val="007E2CED"/>
    <w:rPr>
      <w:vertAlign w:val="superscript"/>
    </w:rPr>
  </w:style>
  <w:style w:type="paragraph" w:styleId="FootnoteText">
    <w:name w:val="footnote text"/>
    <w:basedOn w:val="Normal"/>
    <w:link w:val="FootnoteTextChar"/>
    <w:uiPriority w:val="99"/>
    <w:semiHidden/>
    <w:unhideWhenUsed/>
    <w:rsid w:val="007E2C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2CED"/>
    <w:rPr>
      <w:color w:val="404040" w:themeColor="text1" w:themeTint="BF"/>
      <w:sz w:val="20"/>
      <w:szCs w:val="20"/>
    </w:rPr>
  </w:style>
  <w:style w:type="character" w:styleId="FootnoteReference">
    <w:name w:val="footnote reference"/>
    <w:basedOn w:val="DefaultParagraphFont"/>
    <w:uiPriority w:val="99"/>
    <w:semiHidden/>
    <w:unhideWhenUsed/>
    <w:rsid w:val="007E2CED"/>
    <w:rPr>
      <w:vertAlign w:val="superscript"/>
    </w:rPr>
  </w:style>
  <w:style w:type="paragraph" w:styleId="Header">
    <w:name w:val="header"/>
    <w:basedOn w:val="Normal"/>
    <w:link w:val="HeaderChar"/>
    <w:uiPriority w:val="99"/>
    <w:unhideWhenUsed/>
    <w:rsid w:val="003E3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ADE"/>
    <w:rPr>
      <w:color w:val="404040" w:themeColor="text1" w:themeTint="BF"/>
    </w:rPr>
  </w:style>
  <w:style w:type="paragraph" w:styleId="Footer">
    <w:name w:val="footer"/>
    <w:basedOn w:val="Normal"/>
    <w:link w:val="FooterChar"/>
    <w:uiPriority w:val="99"/>
    <w:unhideWhenUsed/>
    <w:rsid w:val="003E3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ADE"/>
    <w:rPr>
      <w:color w:val="404040" w:themeColor="text1" w:themeTint="BF"/>
    </w:rPr>
  </w:style>
  <w:style w:type="table" w:styleId="PlainTable3">
    <w:name w:val="Plain Table 3"/>
    <w:basedOn w:val="TableNormal"/>
    <w:uiPriority w:val="43"/>
    <w:rsid w:val="009C46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840DB3"/>
    <w:rPr>
      <w:color w:val="0563C1" w:themeColor="hyperlink"/>
      <w:u w:val="single"/>
    </w:rPr>
  </w:style>
  <w:style w:type="character" w:customStyle="1" w:styleId="UnresolvedMention1">
    <w:name w:val="Unresolved Mention1"/>
    <w:basedOn w:val="DefaultParagraphFont"/>
    <w:uiPriority w:val="99"/>
    <w:semiHidden/>
    <w:unhideWhenUsed/>
    <w:rsid w:val="00840DB3"/>
    <w:rPr>
      <w:color w:val="808080"/>
      <w:shd w:val="clear" w:color="auto" w:fill="E6E6E6"/>
    </w:rPr>
  </w:style>
  <w:style w:type="paragraph" w:customStyle="1" w:styleId="ExhibitTitle">
    <w:name w:val="Exhibit Title"/>
    <w:next w:val="Normal"/>
    <w:qFormat/>
    <w:rsid w:val="008F3C56"/>
    <w:pPr>
      <w:keepNext/>
      <w:keepLines/>
      <w:spacing w:before="360" w:after="40" w:line="240" w:lineRule="auto"/>
    </w:pPr>
    <w:rPr>
      <w:rFonts w:asciiTheme="majorHAnsi" w:eastAsiaTheme="minorEastAsia" w:hAnsiTheme="majorHAnsi"/>
      <w:b/>
      <w:iCs/>
      <w:color w:val="404040" w:themeColor="text1" w:themeTint="BF"/>
      <w:sz w:val="24"/>
      <w:szCs w:val="26"/>
      <w:lang w:eastAsia="ja-JP"/>
    </w:rPr>
  </w:style>
  <w:style w:type="paragraph" w:styleId="Revision">
    <w:name w:val="Revision"/>
    <w:hidden/>
    <w:uiPriority w:val="99"/>
    <w:semiHidden/>
    <w:rsid w:val="00852281"/>
    <w:pPr>
      <w:spacing w:after="0" w:line="240" w:lineRule="auto"/>
    </w:pPr>
    <w:rPr>
      <w:rFonts w:ascii="Calibri" w:eastAsiaTheme="minorEastAsia" w:hAnsi="Calibri"/>
      <w:sz w:val="24"/>
      <w:lang w:eastAsia="ja-JP"/>
    </w:rPr>
  </w:style>
  <w:style w:type="table" w:styleId="GridTable3-Accent6">
    <w:name w:val="Grid Table 3 Accent 6"/>
    <w:basedOn w:val="TableNormal"/>
    <w:uiPriority w:val="48"/>
    <w:rsid w:val="00852281"/>
    <w:pPr>
      <w:spacing w:after="0" w:line="240" w:lineRule="auto"/>
    </w:pPr>
    <w:tblPr>
      <w:tblStyleRowBandSize w:val="1"/>
      <w:tblStyleColBandSize w:val="1"/>
      <w:tblBorders>
        <w:top w:val="single" w:sz="4" w:space="0" w:color="F4B083" w:themeColor="accent6" w:themeTint="99"/>
        <w:left w:val="single" w:sz="4" w:space="0" w:color="F4B083" w:themeColor="accent6" w:themeTint="99"/>
        <w:bottom w:val="single" w:sz="4" w:space="0" w:color="F4B083" w:themeColor="accent6" w:themeTint="99"/>
        <w:right w:val="single" w:sz="4" w:space="0" w:color="F4B083" w:themeColor="accent6" w:themeTint="99"/>
        <w:insideH w:val="single" w:sz="4" w:space="0" w:color="F4B083" w:themeColor="accent6" w:themeTint="99"/>
        <w:insideV w:val="single" w:sz="4" w:space="0" w:color="F4B08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6" w:themeFillTint="33"/>
      </w:tcPr>
    </w:tblStylePr>
    <w:tblStylePr w:type="band1Horz">
      <w:tblPr/>
      <w:tcPr>
        <w:shd w:val="clear" w:color="auto" w:fill="FBE4D5" w:themeFill="accent6" w:themeFillTint="33"/>
      </w:tcPr>
    </w:tblStylePr>
    <w:tblStylePr w:type="neCell">
      <w:tblPr/>
      <w:tcPr>
        <w:tcBorders>
          <w:bottom w:val="single" w:sz="4" w:space="0" w:color="F4B083" w:themeColor="accent6" w:themeTint="99"/>
        </w:tcBorders>
      </w:tcPr>
    </w:tblStylePr>
    <w:tblStylePr w:type="nwCell">
      <w:tblPr/>
      <w:tcPr>
        <w:tcBorders>
          <w:bottom w:val="single" w:sz="4" w:space="0" w:color="F4B083" w:themeColor="accent6" w:themeTint="99"/>
        </w:tcBorders>
      </w:tcPr>
    </w:tblStylePr>
    <w:tblStylePr w:type="seCell">
      <w:tblPr/>
      <w:tcPr>
        <w:tcBorders>
          <w:top w:val="single" w:sz="4" w:space="0" w:color="F4B083" w:themeColor="accent6" w:themeTint="99"/>
        </w:tcBorders>
      </w:tcPr>
    </w:tblStylePr>
    <w:tblStylePr w:type="swCell">
      <w:tblPr/>
      <w:tcPr>
        <w:tcBorders>
          <w:top w:val="single" w:sz="4" w:space="0" w:color="F4B083" w:themeColor="accent6" w:themeTint="99"/>
        </w:tcBorders>
      </w:tcPr>
    </w:tblStylePr>
  </w:style>
  <w:style w:type="table" w:styleId="GridTable6Colorful-Accent6">
    <w:name w:val="Grid Table 6 Colorful Accent 6"/>
    <w:basedOn w:val="TableNormal"/>
    <w:uiPriority w:val="51"/>
    <w:rsid w:val="00852281"/>
    <w:pPr>
      <w:spacing w:after="0" w:line="240" w:lineRule="auto"/>
    </w:pPr>
    <w:rPr>
      <w:color w:val="C45911" w:themeColor="accent6" w:themeShade="BF"/>
    </w:rPr>
    <w:tblPr>
      <w:tblStyleRowBandSize w:val="1"/>
      <w:tblStyleColBandSize w:val="1"/>
      <w:tblBorders>
        <w:top w:val="single" w:sz="4" w:space="0" w:color="F4B083" w:themeColor="accent6" w:themeTint="99"/>
        <w:left w:val="single" w:sz="4" w:space="0" w:color="F4B083" w:themeColor="accent6" w:themeTint="99"/>
        <w:bottom w:val="single" w:sz="4" w:space="0" w:color="F4B083" w:themeColor="accent6" w:themeTint="99"/>
        <w:right w:val="single" w:sz="4" w:space="0" w:color="F4B083" w:themeColor="accent6" w:themeTint="99"/>
        <w:insideH w:val="single" w:sz="4" w:space="0" w:color="F4B083" w:themeColor="accent6" w:themeTint="99"/>
        <w:insideV w:val="single" w:sz="4" w:space="0" w:color="F4B083" w:themeColor="accent6" w:themeTint="99"/>
      </w:tblBorders>
    </w:tblPr>
    <w:tblStylePr w:type="firstRow">
      <w:rPr>
        <w:b/>
        <w:bCs/>
      </w:rPr>
      <w:tblPr/>
      <w:tcPr>
        <w:tcBorders>
          <w:bottom w:val="single" w:sz="12" w:space="0" w:color="F4B083" w:themeColor="accent6" w:themeTint="99"/>
        </w:tcBorders>
      </w:tcPr>
    </w:tblStylePr>
    <w:tblStylePr w:type="lastRow">
      <w:rPr>
        <w:b/>
        <w:bCs/>
      </w:rPr>
      <w:tblPr/>
      <w:tcPr>
        <w:tcBorders>
          <w:top w:val="double" w:sz="4" w:space="0" w:color="F4B083" w:themeColor="accent6" w:themeTint="99"/>
        </w:tcBorders>
      </w:tcPr>
    </w:tblStylePr>
    <w:tblStylePr w:type="firstCol">
      <w:rPr>
        <w:b/>
        <w:bCs/>
      </w:rPr>
    </w:tblStylePr>
    <w:tblStylePr w:type="lastCol">
      <w:rPr>
        <w:b/>
        <w:bCs/>
      </w:rPr>
    </w:tblStylePr>
    <w:tblStylePr w:type="band1Vert">
      <w:tblPr/>
      <w:tcPr>
        <w:shd w:val="clear" w:color="auto" w:fill="FBE4D5" w:themeFill="accent6" w:themeFillTint="33"/>
      </w:tcPr>
    </w:tblStylePr>
    <w:tblStylePr w:type="band1Horz">
      <w:tblPr/>
      <w:tcPr>
        <w:shd w:val="clear" w:color="auto" w:fill="FBE4D5" w:themeFill="accent6" w:themeFillTint="33"/>
      </w:tcPr>
    </w:tblStylePr>
  </w:style>
  <w:style w:type="table" w:styleId="TableGridLight">
    <w:name w:val="Grid Table Light"/>
    <w:basedOn w:val="TableNormal"/>
    <w:uiPriority w:val="40"/>
    <w:rsid w:val="002B5D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154811"/>
    <w:rPr>
      <w:rFonts w:ascii="Times New Roman" w:hAnsi="Times New Roman" w:cs="Times New Roman"/>
      <w:sz w:val="24"/>
      <w:szCs w:val="24"/>
    </w:rPr>
  </w:style>
  <w:style w:type="paragraph" w:styleId="TOCHeading">
    <w:name w:val="TOC Heading"/>
    <w:basedOn w:val="Heading1"/>
    <w:next w:val="Normal"/>
    <w:uiPriority w:val="39"/>
    <w:unhideWhenUsed/>
    <w:qFormat/>
    <w:rsid w:val="00381FCE"/>
    <w:pPr>
      <w:spacing w:before="240" w:beforeAutospacing="0" w:after="0" w:line="259" w:lineRule="auto"/>
      <w:outlineLvl w:val="9"/>
    </w:pPr>
    <w:rPr>
      <w:color w:val="18311F" w:themeColor="accent1" w:themeShade="BF"/>
      <w:sz w:val="32"/>
      <w:szCs w:val="32"/>
    </w:rPr>
  </w:style>
  <w:style w:type="paragraph" w:styleId="TOC1">
    <w:name w:val="toc 1"/>
    <w:basedOn w:val="Normal"/>
    <w:next w:val="Normal"/>
    <w:autoRedefine/>
    <w:uiPriority w:val="39"/>
    <w:unhideWhenUsed/>
    <w:rsid w:val="00F43297"/>
    <w:pPr>
      <w:tabs>
        <w:tab w:val="right" w:leader="dot" w:pos="9350"/>
      </w:tabs>
      <w:spacing w:before="200" w:after="0"/>
    </w:pPr>
  </w:style>
  <w:style w:type="paragraph" w:styleId="TOC2">
    <w:name w:val="toc 2"/>
    <w:basedOn w:val="Normal"/>
    <w:next w:val="Normal"/>
    <w:autoRedefine/>
    <w:uiPriority w:val="39"/>
    <w:unhideWhenUsed/>
    <w:rsid w:val="00F43297"/>
    <w:pPr>
      <w:tabs>
        <w:tab w:val="left" w:pos="660"/>
        <w:tab w:val="right" w:leader="dot" w:pos="9350"/>
      </w:tabs>
      <w:spacing w:after="60"/>
      <w:ind w:left="720" w:hanging="500"/>
    </w:pPr>
  </w:style>
  <w:style w:type="paragraph" w:styleId="TOC3">
    <w:name w:val="toc 3"/>
    <w:basedOn w:val="Normal"/>
    <w:next w:val="Normal"/>
    <w:autoRedefine/>
    <w:uiPriority w:val="39"/>
    <w:unhideWhenUsed/>
    <w:rsid w:val="00F43297"/>
    <w:pPr>
      <w:tabs>
        <w:tab w:val="right" w:leader="dot" w:pos="9350"/>
      </w:tabs>
      <w:spacing w:after="60" w:line="240" w:lineRule="auto"/>
      <w:ind w:left="446"/>
    </w:pPr>
  </w:style>
  <w:style w:type="paragraph" w:customStyle="1" w:styleId="FigureSource">
    <w:name w:val="Figure Source"/>
    <w:basedOn w:val="Normal"/>
    <w:link w:val="FigureSourceChar"/>
    <w:qFormat/>
    <w:rsid w:val="00A0311C"/>
    <w:pPr>
      <w:spacing w:after="240"/>
    </w:pPr>
    <w:rPr>
      <w:rFonts w:asciiTheme="majorHAnsi" w:hAnsiTheme="majorHAnsi"/>
      <w:color w:val="7F7F7F" w:themeColor="text1" w:themeTint="80"/>
      <w:sz w:val="18"/>
    </w:rPr>
  </w:style>
  <w:style w:type="character" w:customStyle="1" w:styleId="FigureSourceChar">
    <w:name w:val="Figure Source Char"/>
    <w:basedOn w:val="DefaultParagraphFont"/>
    <w:link w:val="FigureSource"/>
    <w:rsid w:val="00A0311C"/>
    <w:rPr>
      <w:rFonts w:asciiTheme="majorHAnsi" w:hAnsiTheme="majorHAnsi"/>
      <w:color w:val="7F7F7F" w:themeColor="text1" w:themeTint="80"/>
      <w:sz w:val="18"/>
    </w:rPr>
  </w:style>
  <w:style w:type="paragraph" w:styleId="NoSpacing">
    <w:name w:val="No Spacing"/>
    <w:uiPriority w:val="1"/>
    <w:qFormat/>
    <w:rsid w:val="00383F2D"/>
    <w:pPr>
      <w:spacing w:after="0" w:line="240" w:lineRule="auto"/>
    </w:pPr>
    <w:rPr>
      <w:color w:val="404040" w:themeColor="text1" w:themeTint="BF"/>
    </w:rPr>
  </w:style>
  <w:style w:type="table" w:styleId="GridTable4-Accent5">
    <w:name w:val="Grid Table 4 Accent 5"/>
    <w:basedOn w:val="TableNormal"/>
    <w:uiPriority w:val="49"/>
    <w:rsid w:val="00383F2D"/>
    <w:pPr>
      <w:spacing w:after="0" w:line="240" w:lineRule="auto"/>
    </w:pPr>
    <w:rPr>
      <w:rFonts w:ascii="Arial" w:hAnsi="Arial"/>
    </w:rPr>
    <w:tblPr>
      <w:tblStyleRowBandSize w:val="1"/>
      <w:tblStyleColBandSize w:val="1"/>
      <w:tblBorders>
        <w:top w:val="single" w:sz="4" w:space="0" w:color="8496B0" w:themeColor="accent5" w:themeTint="99"/>
        <w:left w:val="single" w:sz="4" w:space="0" w:color="8496B0" w:themeColor="accent5" w:themeTint="99"/>
        <w:bottom w:val="single" w:sz="4" w:space="0" w:color="8496B0" w:themeColor="accent5" w:themeTint="99"/>
        <w:right w:val="single" w:sz="4" w:space="0" w:color="8496B0" w:themeColor="accent5" w:themeTint="99"/>
        <w:insideH w:val="single" w:sz="4" w:space="0" w:color="8496B0" w:themeColor="accent5" w:themeTint="99"/>
        <w:insideV w:val="single" w:sz="4" w:space="0" w:color="8496B0" w:themeColor="accent5" w:themeTint="99"/>
      </w:tblBorders>
    </w:tblPr>
    <w:tblStylePr w:type="firstRow">
      <w:rPr>
        <w:rFonts w:ascii="Arial" w:hAnsi="Arial"/>
        <w:b/>
        <w:bCs/>
        <w:color w:val="FFFFFF" w:themeColor="background1"/>
        <w:sz w:val="22"/>
      </w:rPr>
      <w:tblPr/>
      <w:tcPr>
        <w:tcBorders>
          <w:top w:val="single" w:sz="4" w:space="0" w:color="44546A" w:themeColor="accent5"/>
          <w:left w:val="single" w:sz="4" w:space="0" w:color="44546A" w:themeColor="accent5"/>
          <w:bottom w:val="single" w:sz="4" w:space="0" w:color="44546A" w:themeColor="accent5"/>
          <w:right w:val="single" w:sz="4" w:space="0" w:color="44546A" w:themeColor="accent5"/>
          <w:insideH w:val="nil"/>
          <w:insideV w:val="nil"/>
        </w:tcBorders>
        <w:shd w:val="clear" w:color="auto" w:fill="44546A" w:themeFill="accent5"/>
      </w:tcPr>
    </w:tblStylePr>
    <w:tblStylePr w:type="lastRow">
      <w:rPr>
        <w:b/>
        <w:bCs/>
      </w:rPr>
    </w:tblStylePr>
    <w:tblStylePr w:type="firstCol">
      <w:rPr>
        <w:b/>
        <w:bCs/>
      </w:rPr>
    </w:tblStylePr>
    <w:tblStylePr w:type="lastCol">
      <w:rPr>
        <w:b/>
        <w:bCs/>
      </w:rPr>
    </w:tblStylePr>
    <w:tblStylePr w:type="band1Vert">
      <w:tblPr/>
      <w:tcPr>
        <w:shd w:val="clear" w:color="auto" w:fill="D5DCE4" w:themeFill="accent5" w:themeFillTint="33"/>
      </w:tcPr>
    </w:tblStylePr>
    <w:tblStylePr w:type="band1Horz">
      <w:tblPr/>
      <w:tcPr>
        <w:shd w:val="clear" w:color="auto" w:fill="E5EAEF"/>
      </w:tcPr>
    </w:tblStylePr>
  </w:style>
  <w:style w:type="paragraph" w:customStyle="1" w:styleId="Footnote">
    <w:name w:val="Footnote"/>
    <w:basedOn w:val="FootnoteText"/>
    <w:qFormat/>
    <w:rsid w:val="00DA04B2"/>
    <w:pPr>
      <w:ind w:left="90" w:hanging="90"/>
    </w:pPr>
    <w:rPr>
      <w:color w:val="595959" w:themeColor="text1" w:themeTint="A6"/>
    </w:rPr>
  </w:style>
  <w:style w:type="table" w:styleId="ListTable7Colorful-Accent5">
    <w:name w:val="List Table 7 Colorful Accent 5"/>
    <w:basedOn w:val="TableNormal"/>
    <w:uiPriority w:val="52"/>
    <w:rsid w:val="00A52B17"/>
    <w:pPr>
      <w:spacing w:after="0" w:line="240" w:lineRule="auto"/>
    </w:pPr>
    <w:rPr>
      <w:color w:val="323E4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546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546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546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546A" w:themeColor="accent5"/>
        </w:tcBorders>
        <w:shd w:val="clear" w:color="auto" w:fill="FFFFFF" w:themeFill="background1"/>
      </w:tcPr>
    </w:tblStylePr>
    <w:tblStylePr w:type="band1Vert">
      <w:tblPr/>
      <w:tcPr>
        <w:shd w:val="clear" w:color="auto" w:fill="D5DCE4" w:themeFill="accent5" w:themeFillTint="33"/>
      </w:tcPr>
    </w:tblStylePr>
    <w:tblStylePr w:type="band1Horz">
      <w:tblPr/>
      <w:tcPr>
        <w:shd w:val="clear" w:color="auto" w:fill="D5DC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yperlink1">
    <w:name w:val="Hyperlink1"/>
    <w:basedOn w:val="DefaultParagraphFont"/>
    <w:uiPriority w:val="99"/>
    <w:unhideWhenUsed/>
    <w:rsid w:val="004629A7"/>
    <w:rPr>
      <w:color w:val="2370CD"/>
      <w:u w:val="single"/>
    </w:rPr>
  </w:style>
  <w:style w:type="table" w:styleId="GridTable1Light-Accent6">
    <w:name w:val="Grid Table 1 Light Accent 6"/>
    <w:basedOn w:val="TableNormal"/>
    <w:uiPriority w:val="46"/>
    <w:rsid w:val="0020482E"/>
    <w:pPr>
      <w:spacing w:after="0" w:line="240" w:lineRule="auto"/>
    </w:pPr>
    <w:rPr>
      <w:rFonts w:eastAsiaTheme="minorEastAsia"/>
      <w:color w:val="44546A" w:themeColor="text2"/>
      <w:sz w:val="20"/>
      <w:szCs w:val="20"/>
      <w:lang w:eastAsia="ja-JP"/>
    </w:rPr>
    <w:tblPr>
      <w:tblStyleRowBandSize w:val="1"/>
      <w:tblStyleColBandSize w:val="1"/>
      <w:tblInd w:w="0" w:type="nil"/>
      <w:tblBorders>
        <w:top w:val="single" w:sz="4" w:space="0" w:color="F7CAAC" w:themeColor="accent6" w:themeTint="66"/>
        <w:left w:val="single" w:sz="4" w:space="0" w:color="F7CAAC" w:themeColor="accent6" w:themeTint="66"/>
        <w:bottom w:val="single" w:sz="4" w:space="0" w:color="F7CAAC" w:themeColor="accent6" w:themeTint="66"/>
        <w:right w:val="single" w:sz="4" w:space="0" w:color="F7CAAC" w:themeColor="accent6" w:themeTint="66"/>
        <w:insideH w:val="single" w:sz="4" w:space="0" w:color="F7CAAC" w:themeColor="accent6" w:themeTint="66"/>
        <w:insideV w:val="single" w:sz="4" w:space="0" w:color="F7CAAC" w:themeColor="accent6" w:themeTint="66"/>
      </w:tblBorders>
    </w:tblPr>
    <w:tblStylePr w:type="firstRow">
      <w:rPr>
        <w:b/>
        <w:bCs/>
      </w:rPr>
      <w:tblPr/>
      <w:tcPr>
        <w:tcBorders>
          <w:bottom w:val="single" w:sz="12" w:space="0" w:color="F4B083" w:themeColor="accent6" w:themeTint="99"/>
        </w:tcBorders>
      </w:tcPr>
    </w:tblStylePr>
    <w:tblStylePr w:type="lastRow">
      <w:rPr>
        <w:b/>
        <w:bCs/>
      </w:rPr>
      <w:tblPr/>
      <w:tcPr>
        <w:tcBorders>
          <w:top w:val="double" w:sz="2" w:space="0" w:color="F4B083" w:themeColor="accent6"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720F77"/>
    <w:rPr>
      <w:color w:val="954F72" w:themeColor="followedHyperlink"/>
      <w:u w:val="single"/>
    </w:rPr>
  </w:style>
  <w:style w:type="character" w:styleId="Emphasis">
    <w:name w:val="Emphasis"/>
    <w:basedOn w:val="DefaultParagraphFont"/>
    <w:uiPriority w:val="20"/>
    <w:qFormat/>
    <w:rsid w:val="002B6381"/>
    <w:rPr>
      <w:i/>
      <w:iCs/>
    </w:rPr>
  </w:style>
  <w:style w:type="table" w:styleId="PlainTable1">
    <w:name w:val="Plain Table 1"/>
    <w:basedOn w:val="TableNormal"/>
    <w:uiPriority w:val="41"/>
    <w:rsid w:val="00AA0A6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250146">
      <w:bodyDiv w:val="1"/>
      <w:marLeft w:val="0"/>
      <w:marRight w:val="0"/>
      <w:marTop w:val="0"/>
      <w:marBottom w:val="0"/>
      <w:divBdr>
        <w:top w:val="none" w:sz="0" w:space="0" w:color="auto"/>
        <w:left w:val="none" w:sz="0" w:space="0" w:color="auto"/>
        <w:bottom w:val="none" w:sz="0" w:space="0" w:color="auto"/>
        <w:right w:val="none" w:sz="0" w:space="0" w:color="auto"/>
      </w:divBdr>
    </w:div>
    <w:div w:id="82797594">
      <w:bodyDiv w:val="1"/>
      <w:marLeft w:val="0"/>
      <w:marRight w:val="0"/>
      <w:marTop w:val="0"/>
      <w:marBottom w:val="0"/>
      <w:divBdr>
        <w:top w:val="none" w:sz="0" w:space="0" w:color="auto"/>
        <w:left w:val="none" w:sz="0" w:space="0" w:color="auto"/>
        <w:bottom w:val="none" w:sz="0" w:space="0" w:color="auto"/>
        <w:right w:val="none" w:sz="0" w:space="0" w:color="auto"/>
      </w:divBdr>
    </w:div>
    <w:div w:id="385492702">
      <w:bodyDiv w:val="1"/>
      <w:marLeft w:val="0"/>
      <w:marRight w:val="0"/>
      <w:marTop w:val="0"/>
      <w:marBottom w:val="0"/>
      <w:divBdr>
        <w:top w:val="none" w:sz="0" w:space="0" w:color="auto"/>
        <w:left w:val="none" w:sz="0" w:space="0" w:color="auto"/>
        <w:bottom w:val="none" w:sz="0" w:space="0" w:color="auto"/>
        <w:right w:val="none" w:sz="0" w:space="0" w:color="auto"/>
      </w:divBdr>
    </w:div>
    <w:div w:id="414591944">
      <w:bodyDiv w:val="1"/>
      <w:marLeft w:val="0"/>
      <w:marRight w:val="0"/>
      <w:marTop w:val="0"/>
      <w:marBottom w:val="0"/>
      <w:divBdr>
        <w:top w:val="none" w:sz="0" w:space="0" w:color="auto"/>
        <w:left w:val="none" w:sz="0" w:space="0" w:color="auto"/>
        <w:bottom w:val="none" w:sz="0" w:space="0" w:color="auto"/>
        <w:right w:val="none" w:sz="0" w:space="0" w:color="auto"/>
      </w:divBdr>
    </w:div>
    <w:div w:id="456799043">
      <w:bodyDiv w:val="1"/>
      <w:marLeft w:val="0"/>
      <w:marRight w:val="0"/>
      <w:marTop w:val="0"/>
      <w:marBottom w:val="0"/>
      <w:divBdr>
        <w:top w:val="none" w:sz="0" w:space="0" w:color="auto"/>
        <w:left w:val="none" w:sz="0" w:space="0" w:color="auto"/>
        <w:bottom w:val="none" w:sz="0" w:space="0" w:color="auto"/>
        <w:right w:val="none" w:sz="0" w:space="0" w:color="auto"/>
      </w:divBdr>
    </w:div>
    <w:div w:id="494608196">
      <w:bodyDiv w:val="1"/>
      <w:marLeft w:val="0"/>
      <w:marRight w:val="0"/>
      <w:marTop w:val="0"/>
      <w:marBottom w:val="0"/>
      <w:divBdr>
        <w:top w:val="none" w:sz="0" w:space="0" w:color="auto"/>
        <w:left w:val="none" w:sz="0" w:space="0" w:color="auto"/>
        <w:bottom w:val="none" w:sz="0" w:space="0" w:color="auto"/>
        <w:right w:val="none" w:sz="0" w:space="0" w:color="auto"/>
      </w:divBdr>
    </w:div>
    <w:div w:id="511142645">
      <w:bodyDiv w:val="1"/>
      <w:marLeft w:val="0"/>
      <w:marRight w:val="0"/>
      <w:marTop w:val="0"/>
      <w:marBottom w:val="0"/>
      <w:divBdr>
        <w:top w:val="none" w:sz="0" w:space="0" w:color="auto"/>
        <w:left w:val="none" w:sz="0" w:space="0" w:color="auto"/>
        <w:bottom w:val="none" w:sz="0" w:space="0" w:color="auto"/>
        <w:right w:val="none" w:sz="0" w:space="0" w:color="auto"/>
      </w:divBdr>
    </w:div>
    <w:div w:id="669872106">
      <w:bodyDiv w:val="1"/>
      <w:marLeft w:val="0"/>
      <w:marRight w:val="0"/>
      <w:marTop w:val="0"/>
      <w:marBottom w:val="0"/>
      <w:divBdr>
        <w:top w:val="none" w:sz="0" w:space="0" w:color="auto"/>
        <w:left w:val="none" w:sz="0" w:space="0" w:color="auto"/>
        <w:bottom w:val="none" w:sz="0" w:space="0" w:color="auto"/>
        <w:right w:val="none" w:sz="0" w:space="0" w:color="auto"/>
      </w:divBdr>
    </w:div>
    <w:div w:id="673726680">
      <w:bodyDiv w:val="1"/>
      <w:marLeft w:val="0"/>
      <w:marRight w:val="0"/>
      <w:marTop w:val="0"/>
      <w:marBottom w:val="0"/>
      <w:divBdr>
        <w:top w:val="none" w:sz="0" w:space="0" w:color="auto"/>
        <w:left w:val="none" w:sz="0" w:space="0" w:color="auto"/>
        <w:bottom w:val="none" w:sz="0" w:space="0" w:color="auto"/>
        <w:right w:val="none" w:sz="0" w:space="0" w:color="auto"/>
      </w:divBdr>
    </w:div>
    <w:div w:id="705643405">
      <w:bodyDiv w:val="1"/>
      <w:marLeft w:val="0"/>
      <w:marRight w:val="0"/>
      <w:marTop w:val="0"/>
      <w:marBottom w:val="0"/>
      <w:divBdr>
        <w:top w:val="none" w:sz="0" w:space="0" w:color="auto"/>
        <w:left w:val="none" w:sz="0" w:space="0" w:color="auto"/>
        <w:bottom w:val="none" w:sz="0" w:space="0" w:color="auto"/>
        <w:right w:val="none" w:sz="0" w:space="0" w:color="auto"/>
      </w:divBdr>
    </w:div>
    <w:div w:id="735668102">
      <w:bodyDiv w:val="1"/>
      <w:marLeft w:val="0"/>
      <w:marRight w:val="0"/>
      <w:marTop w:val="0"/>
      <w:marBottom w:val="0"/>
      <w:divBdr>
        <w:top w:val="none" w:sz="0" w:space="0" w:color="auto"/>
        <w:left w:val="none" w:sz="0" w:space="0" w:color="auto"/>
        <w:bottom w:val="none" w:sz="0" w:space="0" w:color="auto"/>
        <w:right w:val="none" w:sz="0" w:space="0" w:color="auto"/>
      </w:divBdr>
    </w:div>
    <w:div w:id="786121989">
      <w:bodyDiv w:val="1"/>
      <w:marLeft w:val="0"/>
      <w:marRight w:val="0"/>
      <w:marTop w:val="0"/>
      <w:marBottom w:val="0"/>
      <w:divBdr>
        <w:top w:val="none" w:sz="0" w:space="0" w:color="auto"/>
        <w:left w:val="none" w:sz="0" w:space="0" w:color="auto"/>
        <w:bottom w:val="none" w:sz="0" w:space="0" w:color="auto"/>
        <w:right w:val="none" w:sz="0" w:space="0" w:color="auto"/>
      </w:divBdr>
    </w:div>
    <w:div w:id="867109910">
      <w:bodyDiv w:val="1"/>
      <w:marLeft w:val="0"/>
      <w:marRight w:val="0"/>
      <w:marTop w:val="0"/>
      <w:marBottom w:val="0"/>
      <w:divBdr>
        <w:top w:val="none" w:sz="0" w:space="0" w:color="auto"/>
        <w:left w:val="none" w:sz="0" w:space="0" w:color="auto"/>
        <w:bottom w:val="none" w:sz="0" w:space="0" w:color="auto"/>
        <w:right w:val="none" w:sz="0" w:space="0" w:color="auto"/>
      </w:divBdr>
    </w:div>
    <w:div w:id="887839729">
      <w:bodyDiv w:val="1"/>
      <w:marLeft w:val="0"/>
      <w:marRight w:val="0"/>
      <w:marTop w:val="0"/>
      <w:marBottom w:val="0"/>
      <w:divBdr>
        <w:top w:val="none" w:sz="0" w:space="0" w:color="auto"/>
        <w:left w:val="none" w:sz="0" w:space="0" w:color="auto"/>
        <w:bottom w:val="none" w:sz="0" w:space="0" w:color="auto"/>
        <w:right w:val="none" w:sz="0" w:space="0" w:color="auto"/>
      </w:divBdr>
      <w:divsChild>
        <w:div w:id="1961109298">
          <w:marLeft w:val="547"/>
          <w:marRight w:val="0"/>
          <w:marTop w:val="0"/>
          <w:marBottom w:val="0"/>
          <w:divBdr>
            <w:top w:val="none" w:sz="0" w:space="0" w:color="auto"/>
            <w:left w:val="none" w:sz="0" w:space="0" w:color="auto"/>
            <w:bottom w:val="none" w:sz="0" w:space="0" w:color="auto"/>
            <w:right w:val="none" w:sz="0" w:space="0" w:color="auto"/>
          </w:divBdr>
        </w:div>
      </w:divsChild>
    </w:div>
    <w:div w:id="896823960">
      <w:bodyDiv w:val="1"/>
      <w:marLeft w:val="0"/>
      <w:marRight w:val="0"/>
      <w:marTop w:val="0"/>
      <w:marBottom w:val="0"/>
      <w:divBdr>
        <w:top w:val="none" w:sz="0" w:space="0" w:color="auto"/>
        <w:left w:val="none" w:sz="0" w:space="0" w:color="auto"/>
        <w:bottom w:val="none" w:sz="0" w:space="0" w:color="auto"/>
        <w:right w:val="none" w:sz="0" w:space="0" w:color="auto"/>
      </w:divBdr>
    </w:div>
    <w:div w:id="941500338">
      <w:bodyDiv w:val="1"/>
      <w:marLeft w:val="0"/>
      <w:marRight w:val="0"/>
      <w:marTop w:val="0"/>
      <w:marBottom w:val="0"/>
      <w:divBdr>
        <w:top w:val="none" w:sz="0" w:space="0" w:color="auto"/>
        <w:left w:val="none" w:sz="0" w:space="0" w:color="auto"/>
        <w:bottom w:val="none" w:sz="0" w:space="0" w:color="auto"/>
        <w:right w:val="none" w:sz="0" w:space="0" w:color="auto"/>
      </w:divBdr>
    </w:div>
    <w:div w:id="991640691">
      <w:bodyDiv w:val="1"/>
      <w:marLeft w:val="0"/>
      <w:marRight w:val="0"/>
      <w:marTop w:val="0"/>
      <w:marBottom w:val="0"/>
      <w:divBdr>
        <w:top w:val="none" w:sz="0" w:space="0" w:color="auto"/>
        <w:left w:val="none" w:sz="0" w:space="0" w:color="auto"/>
        <w:bottom w:val="none" w:sz="0" w:space="0" w:color="auto"/>
        <w:right w:val="none" w:sz="0" w:space="0" w:color="auto"/>
      </w:divBdr>
    </w:div>
    <w:div w:id="1028674770">
      <w:bodyDiv w:val="1"/>
      <w:marLeft w:val="0"/>
      <w:marRight w:val="0"/>
      <w:marTop w:val="0"/>
      <w:marBottom w:val="0"/>
      <w:divBdr>
        <w:top w:val="none" w:sz="0" w:space="0" w:color="auto"/>
        <w:left w:val="none" w:sz="0" w:space="0" w:color="auto"/>
        <w:bottom w:val="none" w:sz="0" w:space="0" w:color="auto"/>
        <w:right w:val="none" w:sz="0" w:space="0" w:color="auto"/>
      </w:divBdr>
    </w:div>
    <w:div w:id="1029375144">
      <w:bodyDiv w:val="1"/>
      <w:marLeft w:val="0"/>
      <w:marRight w:val="0"/>
      <w:marTop w:val="0"/>
      <w:marBottom w:val="0"/>
      <w:divBdr>
        <w:top w:val="none" w:sz="0" w:space="0" w:color="auto"/>
        <w:left w:val="none" w:sz="0" w:space="0" w:color="auto"/>
        <w:bottom w:val="none" w:sz="0" w:space="0" w:color="auto"/>
        <w:right w:val="none" w:sz="0" w:space="0" w:color="auto"/>
      </w:divBdr>
    </w:div>
    <w:div w:id="1123232440">
      <w:bodyDiv w:val="1"/>
      <w:marLeft w:val="0"/>
      <w:marRight w:val="0"/>
      <w:marTop w:val="0"/>
      <w:marBottom w:val="0"/>
      <w:divBdr>
        <w:top w:val="none" w:sz="0" w:space="0" w:color="auto"/>
        <w:left w:val="none" w:sz="0" w:space="0" w:color="auto"/>
        <w:bottom w:val="none" w:sz="0" w:space="0" w:color="auto"/>
        <w:right w:val="none" w:sz="0" w:space="0" w:color="auto"/>
      </w:divBdr>
    </w:div>
    <w:div w:id="1133061437">
      <w:bodyDiv w:val="1"/>
      <w:marLeft w:val="0"/>
      <w:marRight w:val="0"/>
      <w:marTop w:val="0"/>
      <w:marBottom w:val="0"/>
      <w:divBdr>
        <w:top w:val="none" w:sz="0" w:space="0" w:color="auto"/>
        <w:left w:val="none" w:sz="0" w:space="0" w:color="auto"/>
        <w:bottom w:val="none" w:sz="0" w:space="0" w:color="auto"/>
        <w:right w:val="none" w:sz="0" w:space="0" w:color="auto"/>
      </w:divBdr>
    </w:div>
    <w:div w:id="1147866613">
      <w:bodyDiv w:val="1"/>
      <w:marLeft w:val="0"/>
      <w:marRight w:val="0"/>
      <w:marTop w:val="0"/>
      <w:marBottom w:val="0"/>
      <w:divBdr>
        <w:top w:val="none" w:sz="0" w:space="0" w:color="auto"/>
        <w:left w:val="none" w:sz="0" w:space="0" w:color="auto"/>
        <w:bottom w:val="none" w:sz="0" w:space="0" w:color="auto"/>
        <w:right w:val="none" w:sz="0" w:space="0" w:color="auto"/>
      </w:divBdr>
    </w:div>
    <w:div w:id="1170679040">
      <w:bodyDiv w:val="1"/>
      <w:marLeft w:val="0"/>
      <w:marRight w:val="0"/>
      <w:marTop w:val="0"/>
      <w:marBottom w:val="0"/>
      <w:divBdr>
        <w:top w:val="none" w:sz="0" w:space="0" w:color="auto"/>
        <w:left w:val="none" w:sz="0" w:space="0" w:color="auto"/>
        <w:bottom w:val="none" w:sz="0" w:space="0" w:color="auto"/>
        <w:right w:val="none" w:sz="0" w:space="0" w:color="auto"/>
      </w:divBdr>
      <w:divsChild>
        <w:div w:id="402484267">
          <w:marLeft w:val="547"/>
          <w:marRight w:val="0"/>
          <w:marTop w:val="0"/>
          <w:marBottom w:val="0"/>
          <w:divBdr>
            <w:top w:val="none" w:sz="0" w:space="0" w:color="auto"/>
            <w:left w:val="none" w:sz="0" w:space="0" w:color="auto"/>
            <w:bottom w:val="none" w:sz="0" w:space="0" w:color="auto"/>
            <w:right w:val="none" w:sz="0" w:space="0" w:color="auto"/>
          </w:divBdr>
        </w:div>
      </w:divsChild>
    </w:div>
    <w:div w:id="1190994183">
      <w:bodyDiv w:val="1"/>
      <w:marLeft w:val="0"/>
      <w:marRight w:val="0"/>
      <w:marTop w:val="0"/>
      <w:marBottom w:val="0"/>
      <w:divBdr>
        <w:top w:val="none" w:sz="0" w:space="0" w:color="auto"/>
        <w:left w:val="none" w:sz="0" w:space="0" w:color="auto"/>
        <w:bottom w:val="none" w:sz="0" w:space="0" w:color="auto"/>
        <w:right w:val="none" w:sz="0" w:space="0" w:color="auto"/>
      </w:divBdr>
    </w:div>
    <w:div w:id="1260061701">
      <w:bodyDiv w:val="1"/>
      <w:marLeft w:val="0"/>
      <w:marRight w:val="0"/>
      <w:marTop w:val="0"/>
      <w:marBottom w:val="0"/>
      <w:divBdr>
        <w:top w:val="none" w:sz="0" w:space="0" w:color="auto"/>
        <w:left w:val="none" w:sz="0" w:space="0" w:color="auto"/>
        <w:bottom w:val="none" w:sz="0" w:space="0" w:color="auto"/>
        <w:right w:val="none" w:sz="0" w:space="0" w:color="auto"/>
      </w:divBdr>
    </w:div>
    <w:div w:id="1296764028">
      <w:bodyDiv w:val="1"/>
      <w:marLeft w:val="0"/>
      <w:marRight w:val="0"/>
      <w:marTop w:val="0"/>
      <w:marBottom w:val="0"/>
      <w:divBdr>
        <w:top w:val="none" w:sz="0" w:space="0" w:color="auto"/>
        <w:left w:val="none" w:sz="0" w:space="0" w:color="auto"/>
        <w:bottom w:val="none" w:sz="0" w:space="0" w:color="auto"/>
        <w:right w:val="none" w:sz="0" w:space="0" w:color="auto"/>
      </w:divBdr>
    </w:div>
    <w:div w:id="1308364290">
      <w:bodyDiv w:val="1"/>
      <w:marLeft w:val="0"/>
      <w:marRight w:val="0"/>
      <w:marTop w:val="0"/>
      <w:marBottom w:val="0"/>
      <w:divBdr>
        <w:top w:val="none" w:sz="0" w:space="0" w:color="auto"/>
        <w:left w:val="none" w:sz="0" w:space="0" w:color="auto"/>
        <w:bottom w:val="none" w:sz="0" w:space="0" w:color="auto"/>
        <w:right w:val="none" w:sz="0" w:space="0" w:color="auto"/>
      </w:divBdr>
    </w:div>
    <w:div w:id="1313025464">
      <w:bodyDiv w:val="1"/>
      <w:marLeft w:val="0"/>
      <w:marRight w:val="0"/>
      <w:marTop w:val="0"/>
      <w:marBottom w:val="0"/>
      <w:divBdr>
        <w:top w:val="none" w:sz="0" w:space="0" w:color="auto"/>
        <w:left w:val="none" w:sz="0" w:space="0" w:color="auto"/>
        <w:bottom w:val="none" w:sz="0" w:space="0" w:color="auto"/>
        <w:right w:val="none" w:sz="0" w:space="0" w:color="auto"/>
      </w:divBdr>
    </w:div>
    <w:div w:id="1333794877">
      <w:bodyDiv w:val="1"/>
      <w:marLeft w:val="0"/>
      <w:marRight w:val="0"/>
      <w:marTop w:val="0"/>
      <w:marBottom w:val="0"/>
      <w:divBdr>
        <w:top w:val="none" w:sz="0" w:space="0" w:color="auto"/>
        <w:left w:val="none" w:sz="0" w:space="0" w:color="auto"/>
        <w:bottom w:val="none" w:sz="0" w:space="0" w:color="auto"/>
        <w:right w:val="none" w:sz="0" w:space="0" w:color="auto"/>
      </w:divBdr>
      <w:divsChild>
        <w:div w:id="216089281">
          <w:marLeft w:val="360"/>
          <w:marRight w:val="0"/>
          <w:marTop w:val="200"/>
          <w:marBottom w:val="0"/>
          <w:divBdr>
            <w:top w:val="none" w:sz="0" w:space="0" w:color="auto"/>
            <w:left w:val="none" w:sz="0" w:space="0" w:color="auto"/>
            <w:bottom w:val="none" w:sz="0" w:space="0" w:color="auto"/>
            <w:right w:val="none" w:sz="0" w:space="0" w:color="auto"/>
          </w:divBdr>
        </w:div>
        <w:div w:id="311910698">
          <w:marLeft w:val="360"/>
          <w:marRight w:val="0"/>
          <w:marTop w:val="200"/>
          <w:marBottom w:val="0"/>
          <w:divBdr>
            <w:top w:val="none" w:sz="0" w:space="0" w:color="auto"/>
            <w:left w:val="none" w:sz="0" w:space="0" w:color="auto"/>
            <w:bottom w:val="none" w:sz="0" w:space="0" w:color="auto"/>
            <w:right w:val="none" w:sz="0" w:space="0" w:color="auto"/>
          </w:divBdr>
        </w:div>
        <w:div w:id="415172067">
          <w:marLeft w:val="360"/>
          <w:marRight w:val="0"/>
          <w:marTop w:val="200"/>
          <w:marBottom w:val="0"/>
          <w:divBdr>
            <w:top w:val="none" w:sz="0" w:space="0" w:color="auto"/>
            <w:left w:val="none" w:sz="0" w:space="0" w:color="auto"/>
            <w:bottom w:val="none" w:sz="0" w:space="0" w:color="auto"/>
            <w:right w:val="none" w:sz="0" w:space="0" w:color="auto"/>
          </w:divBdr>
        </w:div>
        <w:div w:id="556356608">
          <w:marLeft w:val="360"/>
          <w:marRight w:val="0"/>
          <w:marTop w:val="200"/>
          <w:marBottom w:val="0"/>
          <w:divBdr>
            <w:top w:val="none" w:sz="0" w:space="0" w:color="auto"/>
            <w:left w:val="none" w:sz="0" w:space="0" w:color="auto"/>
            <w:bottom w:val="none" w:sz="0" w:space="0" w:color="auto"/>
            <w:right w:val="none" w:sz="0" w:space="0" w:color="auto"/>
          </w:divBdr>
        </w:div>
        <w:div w:id="592979991">
          <w:marLeft w:val="360"/>
          <w:marRight w:val="0"/>
          <w:marTop w:val="200"/>
          <w:marBottom w:val="0"/>
          <w:divBdr>
            <w:top w:val="none" w:sz="0" w:space="0" w:color="auto"/>
            <w:left w:val="none" w:sz="0" w:space="0" w:color="auto"/>
            <w:bottom w:val="none" w:sz="0" w:space="0" w:color="auto"/>
            <w:right w:val="none" w:sz="0" w:space="0" w:color="auto"/>
          </w:divBdr>
        </w:div>
        <w:div w:id="829829149">
          <w:marLeft w:val="1080"/>
          <w:marRight w:val="0"/>
          <w:marTop w:val="100"/>
          <w:marBottom w:val="0"/>
          <w:divBdr>
            <w:top w:val="none" w:sz="0" w:space="0" w:color="auto"/>
            <w:left w:val="none" w:sz="0" w:space="0" w:color="auto"/>
            <w:bottom w:val="none" w:sz="0" w:space="0" w:color="auto"/>
            <w:right w:val="none" w:sz="0" w:space="0" w:color="auto"/>
          </w:divBdr>
        </w:div>
        <w:div w:id="1091702988">
          <w:marLeft w:val="360"/>
          <w:marRight w:val="0"/>
          <w:marTop w:val="200"/>
          <w:marBottom w:val="0"/>
          <w:divBdr>
            <w:top w:val="none" w:sz="0" w:space="0" w:color="auto"/>
            <w:left w:val="none" w:sz="0" w:space="0" w:color="auto"/>
            <w:bottom w:val="none" w:sz="0" w:space="0" w:color="auto"/>
            <w:right w:val="none" w:sz="0" w:space="0" w:color="auto"/>
          </w:divBdr>
        </w:div>
        <w:div w:id="1135172391">
          <w:marLeft w:val="1080"/>
          <w:marRight w:val="0"/>
          <w:marTop w:val="100"/>
          <w:marBottom w:val="0"/>
          <w:divBdr>
            <w:top w:val="none" w:sz="0" w:space="0" w:color="auto"/>
            <w:left w:val="none" w:sz="0" w:space="0" w:color="auto"/>
            <w:bottom w:val="none" w:sz="0" w:space="0" w:color="auto"/>
            <w:right w:val="none" w:sz="0" w:space="0" w:color="auto"/>
          </w:divBdr>
        </w:div>
        <w:div w:id="1631935304">
          <w:marLeft w:val="360"/>
          <w:marRight w:val="0"/>
          <w:marTop w:val="200"/>
          <w:marBottom w:val="0"/>
          <w:divBdr>
            <w:top w:val="none" w:sz="0" w:space="0" w:color="auto"/>
            <w:left w:val="none" w:sz="0" w:space="0" w:color="auto"/>
            <w:bottom w:val="none" w:sz="0" w:space="0" w:color="auto"/>
            <w:right w:val="none" w:sz="0" w:space="0" w:color="auto"/>
          </w:divBdr>
        </w:div>
        <w:div w:id="1914313037">
          <w:marLeft w:val="360"/>
          <w:marRight w:val="0"/>
          <w:marTop w:val="200"/>
          <w:marBottom w:val="0"/>
          <w:divBdr>
            <w:top w:val="none" w:sz="0" w:space="0" w:color="auto"/>
            <w:left w:val="none" w:sz="0" w:space="0" w:color="auto"/>
            <w:bottom w:val="none" w:sz="0" w:space="0" w:color="auto"/>
            <w:right w:val="none" w:sz="0" w:space="0" w:color="auto"/>
          </w:divBdr>
        </w:div>
        <w:div w:id="1993756182">
          <w:marLeft w:val="360"/>
          <w:marRight w:val="0"/>
          <w:marTop w:val="200"/>
          <w:marBottom w:val="0"/>
          <w:divBdr>
            <w:top w:val="none" w:sz="0" w:space="0" w:color="auto"/>
            <w:left w:val="none" w:sz="0" w:space="0" w:color="auto"/>
            <w:bottom w:val="none" w:sz="0" w:space="0" w:color="auto"/>
            <w:right w:val="none" w:sz="0" w:space="0" w:color="auto"/>
          </w:divBdr>
        </w:div>
      </w:divsChild>
    </w:div>
    <w:div w:id="1460762233">
      <w:bodyDiv w:val="1"/>
      <w:marLeft w:val="0"/>
      <w:marRight w:val="0"/>
      <w:marTop w:val="0"/>
      <w:marBottom w:val="0"/>
      <w:divBdr>
        <w:top w:val="none" w:sz="0" w:space="0" w:color="auto"/>
        <w:left w:val="none" w:sz="0" w:space="0" w:color="auto"/>
        <w:bottom w:val="none" w:sz="0" w:space="0" w:color="auto"/>
        <w:right w:val="none" w:sz="0" w:space="0" w:color="auto"/>
      </w:divBdr>
    </w:div>
    <w:div w:id="1545869491">
      <w:bodyDiv w:val="1"/>
      <w:marLeft w:val="0"/>
      <w:marRight w:val="0"/>
      <w:marTop w:val="0"/>
      <w:marBottom w:val="0"/>
      <w:divBdr>
        <w:top w:val="none" w:sz="0" w:space="0" w:color="auto"/>
        <w:left w:val="none" w:sz="0" w:space="0" w:color="auto"/>
        <w:bottom w:val="none" w:sz="0" w:space="0" w:color="auto"/>
        <w:right w:val="none" w:sz="0" w:space="0" w:color="auto"/>
      </w:divBdr>
    </w:div>
    <w:div w:id="1598176348">
      <w:bodyDiv w:val="1"/>
      <w:marLeft w:val="0"/>
      <w:marRight w:val="0"/>
      <w:marTop w:val="0"/>
      <w:marBottom w:val="0"/>
      <w:divBdr>
        <w:top w:val="none" w:sz="0" w:space="0" w:color="auto"/>
        <w:left w:val="none" w:sz="0" w:space="0" w:color="auto"/>
        <w:bottom w:val="none" w:sz="0" w:space="0" w:color="auto"/>
        <w:right w:val="none" w:sz="0" w:space="0" w:color="auto"/>
      </w:divBdr>
    </w:div>
    <w:div w:id="1693845422">
      <w:bodyDiv w:val="1"/>
      <w:marLeft w:val="0"/>
      <w:marRight w:val="0"/>
      <w:marTop w:val="0"/>
      <w:marBottom w:val="0"/>
      <w:divBdr>
        <w:top w:val="none" w:sz="0" w:space="0" w:color="auto"/>
        <w:left w:val="none" w:sz="0" w:space="0" w:color="auto"/>
        <w:bottom w:val="none" w:sz="0" w:space="0" w:color="auto"/>
        <w:right w:val="none" w:sz="0" w:space="0" w:color="auto"/>
      </w:divBdr>
    </w:div>
    <w:div w:id="1830367302">
      <w:bodyDiv w:val="1"/>
      <w:marLeft w:val="0"/>
      <w:marRight w:val="0"/>
      <w:marTop w:val="0"/>
      <w:marBottom w:val="0"/>
      <w:divBdr>
        <w:top w:val="none" w:sz="0" w:space="0" w:color="auto"/>
        <w:left w:val="none" w:sz="0" w:space="0" w:color="auto"/>
        <w:bottom w:val="none" w:sz="0" w:space="0" w:color="auto"/>
        <w:right w:val="none" w:sz="0" w:space="0" w:color="auto"/>
      </w:divBdr>
    </w:div>
    <w:div w:id="1834489598">
      <w:bodyDiv w:val="1"/>
      <w:marLeft w:val="0"/>
      <w:marRight w:val="0"/>
      <w:marTop w:val="0"/>
      <w:marBottom w:val="0"/>
      <w:divBdr>
        <w:top w:val="none" w:sz="0" w:space="0" w:color="auto"/>
        <w:left w:val="none" w:sz="0" w:space="0" w:color="auto"/>
        <w:bottom w:val="none" w:sz="0" w:space="0" w:color="auto"/>
        <w:right w:val="none" w:sz="0" w:space="0" w:color="auto"/>
      </w:divBdr>
      <w:divsChild>
        <w:div w:id="2137022323">
          <w:marLeft w:val="547"/>
          <w:marRight w:val="0"/>
          <w:marTop w:val="0"/>
          <w:marBottom w:val="0"/>
          <w:divBdr>
            <w:top w:val="none" w:sz="0" w:space="0" w:color="auto"/>
            <w:left w:val="none" w:sz="0" w:space="0" w:color="auto"/>
            <w:bottom w:val="none" w:sz="0" w:space="0" w:color="auto"/>
            <w:right w:val="none" w:sz="0" w:space="0" w:color="auto"/>
          </w:divBdr>
        </w:div>
      </w:divsChild>
    </w:div>
    <w:div w:id="1873573424">
      <w:bodyDiv w:val="1"/>
      <w:marLeft w:val="0"/>
      <w:marRight w:val="0"/>
      <w:marTop w:val="0"/>
      <w:marBottom w:val="0"/>
      <w:divBdr>
        <w:top w:val="none" w:sz="0" w:space="0" w:color="auto"/>
        <w:left w:val="none" w:sz="0" w:space="0" w:color="auto"/>
        <w:bottom w:val="none" w:sz="0" w:space="0" w:color="auto"/>
        <w:right w:val="none" w:sz="0" w:space="0" w:color="auto"/>
      </w:divBdr>
    </w:div>
    <w:div w:id="2038388986">
      <w:bodyDiv w:val="1"/>
      <w:marLeft w:val="0"/>
      <w:marRight w:val="0"/>
      <w:marTop w:val="0"/>
      <w:marBottom w:val="0"/>
      <w:divBdr>
        <w:top w:val="none" w:sz="0" w:space="0" w:color="auto"/>
        <w:left w:val="none" w:sz="0" w:space="0" w:color="auto"/>
        <w:bottom w:val="none" w:sz="0" w:space="0" w:color="auto"/>
        <w:right w:val="none" w:sz="0" w:space="0" w:color="auto"/>
      </w:divBdr>
    </w:div>
    <w:div w:id="2086491627">
      <w:bodyDiv w:val="1"/>
      <w:marLeft w:val="0"/>
      <w:marRight w:val="0"/>
      <w:marTop w:val="0"/>
      <w:marBottom w:val="0"/>
      <w:divBdr>
        <w:top w:val="none" w:sz="0" w:space="0" w:color="auto"/>
        <w:left w:val="none" w:sz="0" w:space="0" w:color="auto"/>
        <w:bottom w:val="none" w:sz="0" w:space="0" w:color="auto"/>
        <w:right w:val="none" w:sz="0" w:space="0" w:color="auto"/>
      </w:divBdr>
    </w:div>
    <w:div w:id="2094818120">
      <w:bodyDiv w:val="1"/>
      <w:marLeft w:val="0"/>
      <w:marRight w:val="0"/>
      <w:marTop w:val="0"/>
      <w:marBottom w:val="0"/>
      <w:divBdr>
        <w:top w:val="none" w:sz="0" w:space="0" w:color="auto"/>
        <w:left w:val="none" w:sz="0" w:space="0" w:color="auto"/>
        <w:bottom w:val="none" w:sz="0" w:space="0" w:color="auto"/>
        <w:right w:val="none" w:sz="0" w:space="0" w:color="auto"/>
      </w:divBdr>
    </w:div>
    <w:div w:id="2107385762">
      <w:bodyDiv w:val="1"/>
      <w:marLeft w:val="0"/>
      <w:marRight w:val="0"/>
      <w:marTop w:val="0"/>
      <w:marBottom w:val="0"/>
      <w:divBdr>
        <w:top w:val="none" w:sz="0" w:space="0" w:color="auto"/>
        <w:left w:val="none" w:sz="0" w:space="0" w:color="auto"/>
        <w:bottom w:val="none" w:sz="0" w:space="0" w:color="auto"/>
        <w:right w:val="none" w:sz="0" w:space="0" w:color="auto"/>
      </w:divBdr>
    </w:div>
    <w:div w:id="2111387970">
      <w:bodyDiv w:val="1"/>
      <w:marLeft w:val="0"/>
      <w:marRight w:val="0"/>
      <w:marTop w:val="0"/>
      <w:marBottom w:val="0"/>
      <w:divBdr>
        <w:top w:val="none" w:sz="0" w:space="0" w:color="auto"/>
        <w:left w:val="none" w:sz="0" w:space="0" w:color="auto"/>
        <w:bottom w:val="none" w:sz="0" w:space="0" w:color="auto"/>
        <w:right w:val="none" w:sz="0" w:space="0" w:color="auto"/>
      </w:divBdr>
    </w:div>
    <w:div w:id="213879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4.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chart" Target="charts/chart49.xml"/><Relationship Id="rId7" Type="http://schemas.openxmlformats.org/officeDocument/2006/relationships/settings" Target="settings.xml"/><Relationship Id="rId71" Type="http://schemas.openxmlformats.org/officeDocument/2006/relationships/chart" Target="charts/chart5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chart" Target="charts/chart10.xml"/><Relationship Id="rId11" Type="http://schemas.openxmlformats.org/officeDocument/2006/relationships/image" Target="media/image1.png"/><Relationship Id="rId24" Type="http://schemas.openxmlformats.org/officeDocument/2006/relationships/chart" Target="charts/chart6.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education.nh.gov/who-we-are/division-of-educator-and-analytic-resources/bureau-of-education-statistics/demographic-data" TargetMode="Externa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61" Type="http://schemas.openxmlformats.org/officeDocument/2006/relationships/chart" Target="charts/chart42.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8" Type="http://schemas.openxmlformats.org/officeDocument/2006/relationships/webSettings" Target="webSettings.xml"/><Relationship Id="rId51" Type="http://schemas.openxmlformats.org/officeDocument/2006/relationships/chart" Target="charts/chart32.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chart" Target="charts/chart3.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1.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erber\Downloads\HSRI%20Basic%20Template%20(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Hsrieast-file\bh\ACTIVE\1143-01-NH%20SYT-I\Data_StaffRosters\Baseline\GNMJH%20CCNH_StaffRoster_19120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Hsrieast-file\bh\ACTIVE\1143-01-NH%20SYT-I\Data_GPRA\Analysis\AnalyticSpreadsheet_202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Hsrieast-file\bh\ACTIVE\1143-01-NH%20SYT-I\Data_StaffRosters\Baseline\GPstaffroster1.13.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Hsrieast-file\bh\ACTIVE\1143-01-NH%20SYT-I\Data_Regional\SubStateDataGraph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Hsrieast-file\bh\ACTIVE\1143-01-NH%20SYT-I\Data_Regional\SubStateDataGraph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Hsrieast-file\bh\ACTIVE\1143-01-NH%20SYT-I\Data_Regional\SubStateDataGraph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Hsrieast-file\bh\ACTIVE\1143-01-NH%20SYT-I\Data_Regional\SubStateDataGraph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Hsrieast-file\bh\ACTIVE\1143-01-NH%20SYT-I\Data_Regional\SubStateDataGraph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Hsrieast-file\bh\ACTIVE\1143-01-NH%20SYT-I\Data_Regional\SubStateDataGraph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Hsrieast-file\bh\ACTIVE\1143-01-NH%20SYT-I\Data_Regional\SubStateDataGraph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Hsrieast-file\bh\ACTIVE\1143-01-NH%20SYT-I\Data_Regional\SubStateDataGraph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hsrieast-file\BH\ACTIVE\1143-01-NH%20SYT-I\Data_GPRA\Analysis\IntakeTrends.201119.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Hsrieast-file\bh\ACTIVE\1143-01-NH%20SYT-I\Data_Regional\SubStateDataGraph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Hsrieast-file\bh\ACTIVE\1143-01-NH%20SYT-I\Data_Regional\SubStateDataGraph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1.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chartUserShapes" Target="../drawings/drawing2.xml"/></Relationships>
</file>

<file path=word/charts/_rels/chart34.xml.rels><?xml version="1.0" encoding="UTF-8" standalone="yes"?>
<Relationships xmlns="http://schemas.openxmlformats.org/package/2006/relationships"><Relationship Id="rId3" Type="http://schemas.openxmlformats.org/officeDocument/2006/relationships/oleObject" Target="file:///\\Hsri2400-dcfile\bh\ACTIVE\1143-01-NH%20SYT-I\Data_StateLevel\State-Level%20Analysis_20200922.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Hsri2400-dcfile\bh\ACTIVE\1143-01-NH%20SYT-I\Data_StateLevel\State-Level%20Analysis_20200922.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Hsri2400-dcfile\bh\ACTIVE\1143-01-NH%20SYT-I\Data_StateLevel\State-Level%20Analysis_20200922.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chartUserShapes" Target="../drawings/drawing3.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chartUserShapes" Target="../drawings/drawing4.xml"/></Relationships>
</file>

<file path=word/charts/_rels/chart39.xml.rels><?xml version="1.0" encoding="UTF-8" standalone="yes"?>
<Relationships xmlns="http://schemas.openxmlformats.org/package/2006/relationships"><Relationship Id="rId3" Type="http://schemas.openxmlformats.org/officeDocument/2006/relationships/oleObject" Target="file:///\\Hsri2400-dcfile\bh\ACTIVE\1143-01-NH%20SYT-I\Data_StateLevel\State-Level%20Analysis_20200922.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hsrieast-file\BH\ACTIVE\1143-01-NH%20SYT-I\Meetings\IAC\201201\PieGraph.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Hsri2400-dcfile\bh\ACTIVE\1143-01-NH%20SYT-I\Data_StateLevel\State-Level%20Analysis_20200922.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Hsri2400-dcfile\bh\ACTIVE\1143-01-NH%20SYT-I\Data_StateLevel\State-Level%20Analysis_20200922.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Hsri2400-dcfile\bh\ACTIVE\1143-01-NH%20SYT-I\Data_StateLevel\State-Level%20Analysis_20200922.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Hsri2400-dcfile\bh\ACTIVE\1143-01-NH%20SYT-I\Data_StateLevel\State-Level%20Analysis_20200922.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Hsri2400-dcfile\bh\ACTIVE\1143-01-NH%20SYT-I\Data_StateLevel\State-Level%20Analysis_20200922.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chartUserShapes" Target="../drawings/drawing5.xml"/></Relationships>
</file>

<file path=word/charts/_rels/chart46.xml.rels><?xml version="1.0" encoding="UTF-8" standalone="yes"?>
<Relationships xmlns="http://schemas.openxmlformats.org/package/2006/relationships"><Relationship Id="rId3" Type="http://schemas.openxmlformats.org/officeDocument/2006/relationships/oleObject" Target="file:///\\hsrieast-file\BH\ACTIVE\1143-01-NH%20SYT-I\Data_StateLevel\State-Level%20Analysis_20201221.xlsx" TargetMode="Externa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chartUserShapes" Target="../drawings/drawing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chartUserShapes" Target="../drawings/drawing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chartUserShapes" Target="../drawings/drawing8.xml"/></Relationships>
</file>

<file path=word/charts/_rels/chart49.xml.rels><?xml version="1.0" encoding="UTF-8" standalone="yes"?>
<Relationships xmlns="http://schemas.openxmlformats.org/package/2006/relationships"><Relationship Id="rId3" Type="http://schemas.openxmlformats.org/officeDocument/2006/relationships/oleObject" Target="file:///\\Hsri2400-dcfile\bh\ACTIVE\1143-01-NH%20SYT-I\Data_StateLevel\State-Level%20Analysis_20200922.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Hsri2400-dcfile\bh\ACTIVE\1143-01-NH%20SYT-I\Data_StateLevel\State-Level%20Analysis_20200922.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Hsri2400-dcfile\bh\ACTIVE\1143-01-NH%20SYT-I\Data_StateLevel\State-Level%20Analysis_20200922.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hsrieast-file\BH\ACTIVE\1143-01-NH%20SYT-I\Data_StateLevel\State-Level%20Analysis_20200922.xlsx" TargetMode="Externa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chartUserShapes" Target="../drawings/drawing9.xml"/></Relationships>
</file>

<file path=word/charts/_rels/chart6.xml.rels><?xml version="1.0" encoding="UTF-8" standalone="yes"?>
<Relationships xmlns="http://schemas.openxmlformats.org/package/2006/relationships"><Relationship Id="rId3" Type="http://schemas.openxmlformats.org/officeDocument/2006/relationships/oleObject" Target="file:///\\Hsrieast-file\bh\ACTIVE\1143-01-NH%20SYT-I\Data_GPRA\Analysis\AnalyticSpreadsheet_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484916805529026"/>
          <c:y val="5.7259713701431493E-2"/>
          <c:w val="0.6287275794825431"/>
          <c:h val="0.9427402862985685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Sheet1!$B$13:$B$17</c:f>
              <c:strCache>
                <c:ptCount val="5"/>
                <c:pt idx="0">
                  <c:v>Other EBP training*</c:v>
                </c:pt>
                <c:pt idx="1">
                  <c:v>Peer Support Model</c:v>
                </c:pt>
                <c:pt idx="2">
                  <c:v>Wraparound Model</c:v>
                </c:pt>
                <c:pt idx="3">
                  <c:v>Screening/Assessment tool</c:v>
                </c:pt>
                <c:pt idx="4">
                  <c:v>The Seven Challenges</c:v>
                </c:pt>
              </c:strCache>
            </c:strRef>
          </c:cat>
          <c:val>
            <c:numRef>
              <c:f>Sheet1!$C$13:$C$17</c:f>
              <c:numCache>
                <c:formatCode>0%</c:formatCode>
                <c:ptCount val="5"/>
                <c:pt idx="0">
                  <c:v>0.9</c:v>
                </c:pt>
                <c:pt idx="1">
                  <c:v>0.25</c:v>
                </c:pt>
                <c:pt idx="2">
                  <c:v>0.3</c:v>
                </c:pt>
                <c:pt idx="3">
                  <c:v>0.55000000000000004</c:v>
                </c:pt>
                <c:pt idx="4">
                  <c:v>0.95</c:v>
                </c:pt>
              </c:numCache>
            </c:numRef>
          </c:val>
          <c:extLst>
            <c:ext xmlns:c16="http://schemas.microsoft.com/office/drawing/2014/chart" uri="{C3380CC4-5D6E-409C-BE32-E72D297353CC}">
              <c16:uniqueId val="{00000000-8494-438A-B194-3D7421B68213}"/>
            </c:ext>
          </c:extLst>
        </c:ser>
        <c:dLbls>
          <c:dLblPos val="outEnd"/>
          <c:showLegendKey val="0"/>
          <c:showVal val="1"/>
          <c:showCatName val="0"/>
          <c:showSerName val="0"/>
          <c:showPercent val="0"/>
          <c:showBubbleSize val="0"/>
        </c:dLbls>
        <c:gapWidth val="149"/>
        <c:axId val="989969456"/>
        <c:axId val="889911904"/>
      </c:barChart>
      <c:catAx>
        <c:axId val="9899694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889911904"/>
        <c:crosses val="autoZero"/>
        <c:auto val="0"/>
        <c:lblAlgn val="ctr"/>
        <c:lblOffset val="100"/>
        <c:noMultiLvlLbl val="0"/>
      </c:catAx>
      <c:valAx>
        <c:axId val="889911904"/>
        <c:scaling>
          <c:orientation val="minMax"/>
        </c:scaling>
        <c:delete val="1"/>
        <c:axPos val="b"/>
        <c:numFmt formatCode="0%" sourceLinked="1"/>
        <c:majorTickMark val="out"/>
        <c:minorTickMark val="none"/>
        <c:tickLblPos val="nextTo"/>
        <c:crossAx val="989969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341797900262469"/>
          <c:y val="8.6173129651390526E-2"/>
          <c:w val="0.61435979877515312"/>
          <c:h val="0.8276537406972189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[AnalyticSpreadsheet_2020.xlsx]Sheet1!$G$348:$G$349</c:f>
              <c:strCache>
                <c:ptCount val="2"/>
                <c:pt idx="0">
                  <c:v>Medical Care</c:v>
                </c:pt>
                <c:pt idx="1">
                  <c:v>Alcohol/Drug Testing</c:v>
                </c:pt>
              </c:strCache>
            </c:strRef>
          </c:cat>
          <c:val>
            <c:numRef>
              <c:f>[AnalyticSpreadsheet_2020.xlsx]Sheet1!$H$348:$H$349</c:f>
              <c:numCache>
                <c:formatCode>0.0%</c:formatCode>
                <c:ptCount val="2"/>
                <c:pt idx="0">
                  <c:v>2.2727272727272728E-2</c:v>
                </c:pt>
                <c:pt idx="1">
                  <c:v>0.22727272727272732</c:v>
                </c:pt>
              </c:numCache>
            </c:numRef>
          </c:val>
          <c:extLst>
            <c:ext xmlns:c16="http://schemas.microsoft.com/office/drawing/2014/chart" uri="{C3380CC4-5D6E-409C-BE32-E72D297353CC}">
              <c16:uniqueId val="{00000000-2D77-4AA9-B10B-0F3C569ECCD9}"/>
            </c:ext>
          </c:extLst>
        </c:ser>
        <c:dLbls>
          <c:showLegendKey val="0"/>
          <c:showVal val="0"/>
          <c:showCatName val="0"/>
          <c:showSerName val="0"/>
          <c:showPercent val="0"/>
          <c:showBubbleSize val="0"/>
        </c:dLbls>
        <c:gapWidth val="182"/>
        <c:axId val="883669872"/>
        <c:axId val="925248688"/>
      </c:barChart>
      <c:catAx>
        <c:axId val="88366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925248688"/>
        <c:crosses val="autoZero"/>
        <c:auto val="1"/>
        <c:lblAlgn val="ctr"/>
        <c:lblOffset val="100"/>
        <c:noMultiLvlLbl val="0"/>
      </c:catAx>
      <c:valAx>
        <c:axId val="925248688"/>
        <c:scaling>
          <c:orientation val="minMax"/>
        </c:scaling>
        <c:delete val="1"/>
        <c:axPos val="b"/>
        <c:numFmt formatCode="0.0%" sourceLinked="1"/>
        <c:majorTickMark val="none"/>
        <c:minorTickMark val="none"/>
        <c:tickLblPos val="nextTo"/>
        <c:crossAx val="88366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[AnalyticSpreadsheet_2020.xlsx]Sheet1!$G$362:$G$367</c:f>
              <c:strCache>
                <c:ptCount val="6"/>
                <c:pt idx="0">
                  <c:v>Other After Care Services</c:v>
                </c:pt>
                <c:pt idx="1">
                  <c:v>Spiritual Support</c:v>
                </c:pt>
                <c:pt idx="2">
                  <c:v>Continuing Care</c:v>
                </c:pt>
                <c:pt idx="3">
                  <c:v>Recovery Coaching</c:v>
                </c:pt>
                <c:pt idx="4">
                  <c:v>Relapse Prevention</c:v>
                </c:pt>
                <c:pt idx="5">
                  <c:v>Self-Help and Support Groups</c:v>
                </c:pt>
              </c:strCache>
            </c:strRef>
          </c:cat>
          <c:val>
            <c:numRef>
              <c:f>[AnalyticSpreadsheet_2020.xlsx]Sheet1!$H$362:$H$367</c:f>
              <c:numCache>
                <c:formatCode>0.0%</c:formatCode>
                <c:ptCount val="6"/>
                <c:pt idx="0">
                  <c:v>2.2727272727272728E-2</c:v>
                </c:pt>
                <c:pt idx="1">
                  <c:v>0.15909090909090912</c:v>
                </c:pt>
                <c:pt idx="2">
                  <c:v>0.59090909090909083</c:v>
                </c:pt>
                <c:pt idx="3">
                  <c:v>0.59090909090909083</c:v>
                </c:pt>
                <c:pt idx="4">
                  <c:v>0.65909090909090884</c:v>
                </c:pt>
                <c:pt idx="5">
                  <c:v>0.68181818181818188</c:v>
                </c:pt>
              </c:numCache>
            </c:numRef>
          </c:val>
          <c:extLst>
            <c:ext xmlns:c16="http://schemas.microsoft.com/office/drawing/2014/chart" uri="{C3380CC4-5D6E-409C-BE32-E72D297353CC}">
              <c16:uniqueId val="{00000000-A0B7-46DC-8CDA-09173EF4655F}"/>
            </c:ext>
          </c:extLst>
        </c:ser>
        <c:dLbls>
          <c:showLegendKey val="0"/>
          <c:showVal val="0"/>
          <c:showCatName val="0"/>
          <c:showSerName val="0"/>
          <c:showPercent val="0"/>
          <c:showBubbleSize val="0"/>
        </c:dLbls>
        <c:gapWidth val="149"/>
        <c:axId val="1466907312"/>
        <c:axId val="873420512"/>
      </c:barChart>
      <c:catAx>
        <c:axId val="1466907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873420512"/>
        <c:crosses val="autoZero"/>
        <c:auto val="1"/>
        <c:lblAlgn val="ctr"/>
        <c:lblOffset val="100"/>
        <c:noMultiLvlLbl val="0"/>
      </c:catAx>
      <c:valAx>
        <c:axId val="873420512"/>
        <c:scaling>
          <c:orientation val="minMax"/>
        </c:scaling>
        <c:delete val="1"/>
        <c:axPos val="b"/>
        <c:numFmt formatCode="0.0%" sourceLinked="1"/>
        <c:majorTickMark val="none"/>
        <c:minorTickMark val="none"/>
        <c:tickLblPos val="nextTo"/>
        <c:crossAx val="146690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35106669358635"/>
          <c:y val="4.5388900350732411E-2"/>
          <c:w val="0.4729138905713709"/>
          <c:h val="0.9092221992985352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[AnalyticSpreadsheet_2020.xlsx]Sheet1!$G$380:$G$388</c:f>
              <c:strCache>
                <c:ptCount val="9"/>
                <c:pt idx="0">
                  <c:v>Other</c:v>
                </c:pt>
                <c:pt idx="1">
                  <c:v>Infectious Diseases Associated with Drug Use</c:v>
                </c:pt>
                <c:pt idx="2">
                  <c:v>Nicotine Use Disorder and Cessation Options</c:v>
                </c:pt>
                <c:pt idx="3">
                  <c:v>HIV/AIDS Education</c:v>
                </c:pt>
                <c:pt idx="4">
                  <c:v>Sexually Transmitted Diseases</c:v>
                </c:pt>
                <c:pt idx="5">
                  <c:v>Emotional, Physical, and Sexual Abuse</c:v>
                </c:pt>
                <c:pt idx="6">
                  <c:v>Relapse Prevention</c:v>
                </c:pt>
                <c:pt idx="7">
                  <c:v>Substance Abuse Education</c:v>
                </c:pt>
                <c:pt idx="8">
                  <c:v>Substance Use Disorders</c:v>
                </c:pt>
              </c:strCache>
            </c:strRef>
          </c:cat>
          <c:val>
            <c:numRef>
              <c:f>[AnalyticSpreadsheet_2020.xlsx]Sheet1!$H$380:$H$388</c:f>
              <c:numCache>
                <c:formatCode>0.0%</c:formatCode>
                <c:ptCount val="9"/>
                <c:pt idx="0">
                  <c:v>0.86363636363636365</c:v>
                </c:pt>
                <c:pt idx="1">
                  <c:v>0.61904761904761896</c:v>
                </c:pt>
                <c:pt idx="2">
                  <c:v>0.67441860465116288</c:v>
                </c:pt>
                <c:pt idx="3">
                  <c:v>0.68181818181818188</c:v>
                </c:pt>
                <c:pt idx="4">
                  <c:v>0.71428571428571419</c:v>
                </c:pt>
                <c:pt idx="5">
                  <c:v>0.83720930232558133</c:v>
                </c:pt>
                <c:pt idx="6">
                  <c:v>0.88372093023255816</c:v>
                </c:pt>
                <c:pt idx="7">
                  <c:v>0.93181818181818155</c:v>
                </c:pt>
                <c:pt idx="8">
                  <c:v>0.93181818181818155</c:v>
                </c:pt>
              </c:numCache>
            </c:numRef>
          </c:val>
          <c:extLst>
            <c:ext xmlns:c16="http://schemas.microsoft.com/office/drawing/2014/chart" uri="{C3380CC4-5D6E-409C-BE32-E72D297353CC}">
              <c16:uniqueId val="{00000000-6DA7-4673-B4CD-B041783C9C91}"/>
            </c:ext>
          </c:extLst>
        </c:ser>
        <c:dLbls>
          <c:showLegendKey val="0"/>
          <c:showVal val="0"/>
          <c:showCatName val="0"/>
          <c:showSerName val="0"/>
          <c:showPercent val="0"/>
          <c:showBubbleSize val="0"/>
        </c:dLbls>
        <c:gapWidth val="149"/>
        <c:axId val="1635654624"/>
        <c:axId val="873410112"/>
      </c:barChart>
      <c:catAx>
        <c:axId val="1635654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873410112"/>
        <c:crosses val="autoZero"/>
        <c:auto val="1"/>
        <c:lblAlgn val="ctr"/>
        <c:lblOffset val="100"/>
        <c:noMultiLvlLbl val="0"/>
      </c:catAx>
      <c:valAx>
        <c:axId val="873410112"/>
        <c:scaling>
          <c:orientation val="minMax"/>
        </c:scaling>
        <c:delete val="1"/>
        <c:axPos val="b"/>
        <c:numFmt formatCode="0.0%" sourceLinked="1"/>
        <c:majorTickMark val="none"/>
        <c:minorTickMark val="none"/>
        <c:tickLblPos val="nextTo"/>
        <c:crossAx val="1635654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[AnalyticSpreadsheet_2020.xlsx]Sheet1!$G$400:$G$404</c:f>
              <c:strCache>
                <c:ptCount val="5"/>
                <c:pt idx="0">
                  <c:v>Other Peer-to-Peer Recovery Support Services</c:v>
                </c:pt>
                <c:pt idx="1">
                  <c:v>Housing Support</c:v>
                </c:pt>
                <c:pt idx="2">
                  <c:v>Alcohol- and Drug-Free Social Activities</c:v>
                </c:pt>
                <c:pt idx="3">
                  <c:v>Information and Referral</c:v>
                </c:pt>
                <c:pt idx="4">
                  <c:v>Peer Coaching or Mentoring</c:v>
                </c:pt>
              </c:strCache>
            </c:strRef>
          </c:cat>
          <c:val>
            <c:numRef>
              <c:f>[AnalyticSpreadsheet_2020.xlsx]Sheet1!$H$400:$H$404</c:f>
              <c:numCache>
                <c:formatCode>0.0%</c:formatCode>
                <c:ptCount val="5"/>
                <c:pt idx="0">
                  <c:v>0.15909090909090909</c:v>
                </c:pt>
                <c:pt idx="1">
                  <c:v>9.0909090909090925E-2</c:v>
                </c:pt>
                <c:pt idx="2">
                  <c:v>0.59090909090909083</c:v>
                </c:pt>
                <c:pt idx="3">
                  <c:v>0.86363636363636376</c:v>
                </c:pt>
                <c:pt idx="4">
                  <c:v>0.88636363636363635</c:v>
                </c:pt>
              </c:numCache>
            </c:numRef>
          </c:val>
          <c:extLst>
            <c:ext xmlns:c16="http://schemas.microsoft.com/office/drawing/2014/chart" uri="{C3380CC4-5D6E-409C-BE32-E72D297353CC}">
              <c16:uniqueId val="{00000000-7EA8-4EE2-85DB-B680E572C88B}"/>
            </c:ext>
          </c:extLst>
        </c:ser>
        <c:dLbls>
          <c:showLegendKey val="0"/>
          <c:showVal val="0"/>
          <c:showCatName val="0"/>
          <c:showSerName val="0"/>
          <c:showPercent val="0"/>
          <c:showBubbleSize val="0"/>
        </c:dLbls>
        <c:gapWidth val="149"/>
        <c:axId val="834703456"/>
        <c:axId val="873401792"/>
      </c:barChart>
      <c:catAx>
        <c:axId val="83470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873401792"/>
        <c:crosses val="autoZero"/>
        <c:auto val="1"/>
        <c:lblAlgn val="ctr"/>
        <c:lblOffset val="100"/>
        <c:noMultiLvlLbl val="0"/>
      </c:catAx>
      <c:valAx>
        <c:axId val="873401792"/>
        <c:scaling>
          <c:orientation val="minMax"/>
        </c:scaling>
        <c:delete val="1"/>
        <c:axPos val="b"/>
        <c:numFmt formatCode="0.0%" sourceLinked="1"/>
        <c:majorTickMark val="none"/>
        <c:minorTickMark val="none"/>
        <c:tickLblPos val="nextTo"/>
        <c:crossAx val="83470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PrePost!$O$16</c:f>
              <c:strCache>
                <c:ptCount val="1"/>
                <c:pt idx="0">
                  <c:v>Average Days at Intake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PrePost!$N$17:$N$21</c15:sqref>
                  </c15:fullRef>
                </c:ext>
              </c:extLst>
              <c:f>(PrePost!$N$17:$N$18,PrePost!$N$20:$N$21)</c:f>
              <c:strCache>
                <c:ptCount val="4"/>
                <c:pt idx="0">
                  <c:v>Alcohol Use
(Valid N=11)</c:v>
                </c:pt>
                <c:pt idx="1">
                  <c:v>Binge Drinking
(Valid N=3)</c:v>
                </c:pt>
                <c:pt idx="2">
                  <c:v>Illicit Drug Use
(Valid N=11)</c:v>
                </c:pt>
                <c:pt idx="3">
                  <c:v>Marijuana Use
(Valid N=11)</c:v>
                </c:pt>
              </c:strCache>
            </c:strRef>
          </c:cat>
          <c:val>
            <c:numRef>
              <c:extLst>
                <c:ext xmlns:c15="http://schemas.microsoft.com/office/drawing/2012/chart" uri="{02D57815-91ED-43cb-92C2-25804820EDAC}">
                  <c15:fullRef>
                    <c15:sqref>PrePost!$O$17:$O$21</c15:sqref>
                  </c15:fullRef>
                </c:ext>
              </c:extLst>
              <c:f>(PrePost!$O$17:$O$18,PrePost!$O$20:$O$21)</c:f>
              <c:numCache>
                <c:formatCode>0.0</c:formatCode>
                <c:ptCount val="4"/>
                <c:pt idx="0">
                  <c:v>3.4545454545454546</c:v>
                </c:pt>
                <c:pt idx="1">
                  <c:v>4</c:v>
                </c:pt>
                <c:pt idx="2">
                  <c:v>14.181818181818199</c:v>
                </c:pt>
                <c:pt idx="3">
                  <c:v>14</c:v>
                </c:pt>
              </c:numCache>
            </c:numRef>
          </c:val>
          <c:extLst>
            <c:ext xmlns:c16="http://schemas.microsoft.com/office/drawing/2014/chart" uri="{C3380CC4-5D6E-409C-BE32-E72D297353CC}">
              <c16:uniqueId val="{00000000-1EE4-459E-B7F3-9D229DDB9178}"/>
            </c:ext>
          </c:extLst>
        </c:ser>
        <c:ser>
          <c:idx val="1"/>
          <c:order val="1"/>
          <c:tx>
            <c:strRef>
              <c:f>PrePost!$P$16</c:f>
              <c:strCache>
                <c:ptCount val="1"/>
                <c:pt idx="0">
                  <c:v>Average Days at Post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PrePost!$N$17:$N$21</c15:sqref>
                  </c15:fullRef>
                </c:ext>
              </c:extLst>
              <c:f>(PrePost!$N$17:$N$18,PrePost!$N$20:$N$21)</c:f>
              <c:strCache>
                <c:ptCount val="4"/>
                <c:pt idx="0">
                  <c:v>Alcohol Use
(Valid N=11)</c:v>
                </c:pt>
                <c:pt idx="1">
                  <c:v>Binge Drinking
(Valid N=3)</c:v>
                </c:pt>
                <c:pt idx="2">
                  <c:v>Illicit Drug Use
(Valid N=11)</c:v>
                </c:pt>
                <c:pt idx="3">
                  <c:v>Marijuana Use
(Valid N=11)</c:v>
                </c:pt>
              </c:strCache>
            </c:strRef>
          </c:cat>
          <c:val>
            <c:numRef>
              <c:extLst>
                <c:ext xmlns:c15="http://schemas.microsoft.com/office/drawing/2012/chart" uri="{02D57815-91ED-43cb-92C2-25804820EDAC}">
                  <c15:fullRef>
                    <c15:sqref>PrePost!$P$17:$P$21</c15:sqref>
                  </c15:fullRef>
                </c:ext>
              </c:extLst>
              <c:f>(PrePost!$P$17:$P$18,PrePost!$P$20:$P$21)</c:f>
              <c:numCache>
                <c:formatCode>0.0</c:formatCode>
                <c:ptCount val="4"/>
                <c:pt idx="0">
                  <c:v>1.1818181818181819</c:v>
                </c:pt>
                <c:pt idx="1">
                  <c:v>1.3333333333333335</c:v>
                </c:pt>
                <c:pt idx="2">
                  <c:v>11.636363636363599</c:v>
                </c:pt>
                <c:pt idx="3">
                  <c:v>11.636363636363637</c:v>
                </c:pt>
              </c:numCache>
            </c:numRef>
          </c:val>
          <c:extLst>
            <c:ext xmlns:c16="http://schemas.microsoft.com/office/drawing/2014/chart" uri="{C3380CC4-5D6E-409C-BE32-E72D297353CC}">
              <c16:uniqueId val="{00000001-1EE4-459E-B7F3-9D229DDB9178}"/>
            </c:ext>
          </c:extLst>
        </c:ser>
        <c:dLbls>
          <c:showLegendKey val="0"/>
          <c:showVal val="0"/>
          <c:showCatName val="0"/>
          <c:showSerName val="0"/>
          <c:showPercent val="0"/>
          <c:showBubbleSize val="0"/>
        </c:dLbls>
        <c:gapWidth val="219"/>
        <c:overlap val="-27"/>
        <c:axId val="1446906863"/>
        <c:axId val="1544397503"/>
      </c:barChart>
      <c:catAx>
        <c:axId val="1446906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1544397503"/>
        <c:crosses val="autoZero"/>
        <c:auto val="1"/>
        <c:lblAlgn val="ctr"/>
        <c:lblOffset val="100"/>
        <c:noMultiLvlLbl val="0"/>
      </c:catAx>
      <c:valAx>
        <c:axId val="1544397503"/>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906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PrePost!$O$88</c:f>
              <c:strCache>
                <c:ptCount val="1"/>
                <c:pt idx="0">
                  <c:v>Average Days at Intake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PrePost!$N$89:$N$95</c:f>
              <c:strCache>
                <c:ptCount val="6"/>
                <c:pt idx="0">
                  <c:v>Serious Depression
(Valid N=11)</c:v>
                </c:pt>
                <c:pt idx="1">
                  <c:v>Serious Anxiety or Tension
(Valid N=11)</c:v>
                </c:pt>
                <c:pt idx="2">
                  <c:v>Hallucinations
(Valid N=11)</c:v>
                </c:pt>
                <c:pt idx="3">
                  <c:v>Trouble Understanding, Concentrating, or Remembering
(Valid N=11)</c:v>
                </c:pt>
                <c:pt idx="4">
                  <c:v>Trouble Controlling Violent Behavior
(Valid N=10)</c:v>
                </c:pt>
                <c:pt idx="5">
                  <c:v>Prescribed Medication for a Psychological or Emotial Problem
(Valid N=11)</c:v>
                </c:pt>
              </c:strCache>
              <c:extLst/>
            </c:strRef>
          </c:cat>
          <c:val>
            <c:numRef>
              <c:f>PrePost!$O$89:$O$95</c:f>
              <c:numCache>
                <c:formatCode>0.0</c:formatCode>
                <c:ptCount val="6"/>
                <c:pt idx="0">
                  <c:v>15.09090909090909</c:v>
                </c:pt>
                <c:pt idx="1">
                  <c:v>15.363636363636363</c:v>
                </c:pt>
                <c:pt idx="2">
                  <c:v>1</c:v>
                </c:pt>
                <c:pt idx="3">
                  <c:v>12.272727272727273</c:v>
                </c:pt>
                <c:pt idx="4">
                  <c:v>4.2</c:v>
                </c:pt>
                <c:pt idx="5" formatCode="#,##0.0">
                  <c:v>8.9090909090909083</c:v>
                </c:pt>
              </c:numCache>
              <c:extLst/>
            </c:numRef>
          </c:val>
          <c:extLst>
            <c:ext xmlns:c16="http://schemas.microsoft.com/office/drawing/2014/chart" uri="{C3380CC4-5D6E-409C-BE32-E72D297353CC}">
              <c16:uniqueId val="{00000000-919F-4019-AF0E-17D0C34BC5A4}"/>
            </c:ext>
          </c:extLst>
        </c:ser>
        <c:ser>
          <c:idx val="1"/>
          <c:order val="1"/>
          <c:tx>
            <c:strRef>
              <c:f>PrePost!$P$88</c:f>
              <c:strCache>
                <c:ptCount val="1"/>
                <c:pt idx="0">
                  <c:v>Average Days at Post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PrePost!$N$89:$N$95</c:f>
              <c:strCache>
                <c:ptCount val="6"/>
                <c:pt idx="0">
                  <c:v>Serious Depression
(Valid N=11)</c:v>
                </c:pt>
                <c:pt idx="1">
                  <c:v>Serious Anxiety or Tension
(Valid N=11)</c:v>
                </c:pt>
                <c:pt idx="2">
                  <c:v>Hallucinations
(Valid N=11)</c:v>
                </c:pt>
                <c:pt idx="3">
                  <c:v>Trouble Understanding, Concentrating, or Remembering
(Valid N=11)</c:v>
                </c:pt>
                <c:pt idx="4">
                  <c:v>Trouble Controlling Violent Behavior
(Valid N=10)</c:v>
                </c:pt>
                <c:pt idx="5">
                  <c:v>Prescribed Medication for a Psychological or Emotial Problem
(Valid N=11)</c:v>
                </c:pt>
              </c:strCache>
              <c:extLst/>
            </c:strRef>
          </c:cat>
          <c:val>
            <c:numRef>
              <c:f>PrePost!$P$89:$P$95</c:f>
              <c:numCache>
                <c:formatCode>0.0</c:formatCode>
                <c:ptCount val="6"/>
                <c:pt idx="0">
                  <c:v>7.8181818181818192</c:v>
                </c:pt>
                <c:pt idx="1">
                  <c:v>13.181818181818182</c:v>
                </c:pt>
                <c:pt idx="2">
                  <c:v>0.90909090909090906</c:v>
                </c:pt>
                <c:pt idx="3">
                  <c:v>10</c:v>
                </c:pt>
                <c:pt idx="4">
                  <c:v>1</c:v>
                </c:pt>
                <c:pt idx="5" formatCode="#,##0.0">
                  <c:v>19.09090909090909</c:v>
                </c:pt>
              </c:numCache>
              <c:extLst/>
            </c:numRef>
          </c:val>
          <c:extLst>
            <c:ext xmlns:c16="http://schemas.microsoft.com/office/drawing/2014/chart" uri="{C3380CC4-5D6E-409C-BE32-E72D297353CC}">
              <c16:uniqueId val="{00000001-919F-4019-AF0E-17D0C34BC5A4}"/>
            </c:ext>
          </c:extLst>
        </c:ser>
        <c:dLbls>
          <c:showLegendKey val="0"/>
          <c:showVal val="0"/>
          <c:showCatName val="0"/>
          <c:showSerName val="0"/>
          <c:showPercent val="0"/>
          <c:showBubbleSize val="0"/>
        </c:dLbls>
        <c:gapWidth val="190"/>
        <c:overlap val="-19"/>
        <c:axId val="1532087407"/>
        <c:axId val="1443720751"/>
      </c:barChart>
      <c:catAx>
        <c:axId val="1532087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1443720751"/>
        <c:crosses val="autoZero"/>
        <c:auto val="1"/>
        <c:lblAlgn val="ctr"/>
        <c:lblOffset val="100"/>
        <c:noMultiLvlLbl val="0"/>
      </c:catAx>
      <c:valAx>
        <c:axId val="1443720751"/>
        <c:scaling>
          <c:orientation val="minMax"/>
        </c:scaling>
        <c:delete val="1"/>
        <c:axPos val="l"/>
        <c:numFmt formatCode="0" sourceLinked="0"/>
        <c:majorTickMark val="none"/>
        <c:minorTickMark val="none"/>
        <c:tickLblPos val="nextTo"/>
        <c:crossAx val="1532087407"/>
        <c:crosses val="autoZero"/>
        <c:crossBetween val="between"/>
      </c:valAx>
      <c:spPr>
        <a:noFill/>
        <a:ln>
          <a:noFill/>
        </a:ln>
        <a:effectLst/>
      </c:spPr>
    </c:plotArea>
    <c:legend>
      <c:legendPos val="t"/>
      <c:layout>
        <c:manualLayout>
          <c:xMode val="edge"/>
          <c:yMode val="edge"/>
          <c:x val="2.9247392071130827E-2"/>
          <c:y val="3.4817209649340958E-2"/>
          <c:w val="0.46762899321667417"/>
          <c:h val="0.1086825879120746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j-lt"/>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PrePost!$O$62</c:f>
              <c:strCache>
                <c:ptCount val="1"/>
                <c:pt idx="0">
                  <c:v>Intake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PrePost!$N$63:$N$65</c:f>
              <c:strCache>
                <c:ptCount val="3"/>
                <c:pt idx="0">
                  <c:v>Things Have Been Stressful
(Valid N=8)</c:v>
                </c:pt>
                <c:pt idx="1">
                  <c:v>Reduced or Gave Up Important Activities
(Valid N=9)</c:v>
                </c:pt>
                <c:pt idx="2">
                  <c:v>Had Emotional Problems
(Valid N=9)</c:v>
                </c:pt>
              </c:strCache>
            </c:strRef>
          </c:cat>
          <c:val>
            <c:numRef>
              <c:f>PrePost!$O$63:$O$65</c:f>
              <c:numCache>
                <c:formatCode>0.0%</c:formatCode>
                <c:ptCount val="3"/>
                <c:pt idx="0">
                  <c:v>0.25</c:v>
                </c:pt>
                <c:pt idx="1">
                  <c:v>0.22222222222222221</c:v>
                </c:pt>
                <c:pt idx="2">
                  <c:v>0.33333333333333337</c:v>
                </c:pt>
              </c:numCache>
            </c:numRef>
          </c:val>
          <c:extLst>
            <c:ext xmlns:c16="http://schemas.microsoft.com/office/drawing/2014/chart" uri="{C3380CC4-5D6E-409C-BE32-E72D297353CC}">
              <c16:uniqueId val="{00000000-8F34-4176-948C-DC43A34D4BEE}"/>
            </c:ext>
          </c:extLst>
        </c:ser>
        <c:ser>
          <c:idx val="1"/>
          <c:order val="1"/>
          <c:tx>
            <c:strRef>
              <c:f>PrePost!$P$62</c:f>
              <c:strCache>
                <c:ptCount val="1"/>
                <c:pt idx="0">
                  <c:v>Post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PrePost!$N$63:$N$65</c:f>
              <c:strCache>
                <c:ptCount val="3"/>
                <c:pt idx="0">
                  <c:v>Things Have Been Stressful
(Valid N=8)</c:v>
                </c:pt>
                <c:pt idx="1">
                  <c:v>Reduced or Gave Up Important Activities
(Valid N=9)</c:v>
                </c:pt>
                <c:pt idx="2">
                  <c:v>Had Emotional Problems
(Valid N=9)</c:v>
                </c:pt>
              </c:strCache>
            </c:strRef>
          </c:cat>
          <c:val>
            <c:numRef>
              <c:f>PrePost!$P$63:$P$65</c:f>
              <c:numCache>
                <c:formatCode>0.0%</c:formatCode>
                <c:ptCount val="3"/>
                <c:pt idx="0">
                  <c:v>0</c:v>
                </c:pt>
                <c:pt idx="1">
                  <c:v>0.1111111111111111</c:v>
                </c:pt>
                <c:pt idx="2">
                  <c:v>0.1111111111111111</c:v>
                </c:pt>
              </c:numCache>
            </c:numRef>
          </c:val>
          <c:extLst>
            <c:ext xmlns:c16="http://schemas.microsoft.com/office/drawing/2014/chart" uri="{C3380CC4-5D6E-409C-BE32-E72D297353CC}">
              <c16:uniqueId val="{00000001-8F34-4176-948C-DC43A34D4BEE}"/>
            </c:ext>
          </c:extLst>
        </c:ser>
        <c:dLbls>
          <c:showLegendKey val="0"/>
          <c:showVal val="0"/>
          <c:showCatName val="0"/>
          <c:showSerName val="0"/>
          <c:showPercent val="0"/>
          <c:showBubbleSize val="0"/>
        </c:dLbls>
        <c:gapWidth val="219"/>
        <c:overlap val="-27"/>
        <c:axId val="1326431456"/>
        <c:axId val="1585256224"/>
      </c:barChart>
      <c:catAx>
        <c:axId val="132643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1585256224"/>
        <c:crosses val="autoZero"/>
        <c:auto val="1"/>
        <c:lblAlgn val="ctr"/>
        <c:lblOffset val="100"/>
        <c:noMultiLvlLbl val="0"/>
      </c:catAx>
      <c:valAx>
        <c:axId val="1585256224"/>
        <c:scaling>
          <c:orientation val="minMax"/>
        </c:scaling>
        <c:delete val="1"/>
        <c:axPos val="l"/>
        <c:numFmt formatCode="0%" sourceLinked="0"/>
        <c:majorTickMark val="none"/>
        <c:minorTickMark val="none"/>
        <c:tickLblPos val="nextTo"/>
        <c:crossAx val="1326431456"/>
        <c:crosses val="autoZero"/>
        <c:crossBetween val="between"/>
      </c:valAx>
      <c:spPr>
        <a:noFill/>
        <a:ln>
          <a:noFill/>
        </a:ln>
        <a:effectLst/>
      </c:spPr>
    </c:plotArea>
    <c:legend>
      <c:legendPos val="t"/>
      <c:layout>
        <c:manualLayout>
          <c:xMode val="edge"/>
          <c:yMode val="edge"/>
          <c:x val="5.743853600517905E-2"/>
          <c:y val="4.5078888054094664E-2"/>
          <c:w val="0.20634663735866668"/>
          <c:h val="0.1378307707779953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111111111111108E-2"/>
          <c:y val="0.15633086982548239"/>
          <c:w val="0.85731080489938771"/>
          <c:h val="0.59583621126306585"/>
        </c:manualLayout>
      </c:layout>
      <c:barChart>
        <c:barDir val="col"/>
        <c:grouping val="clustered"/>
        <c:varyColors val="0"/>
        <c:ser>
          <c:idx val="0"/>
          <c:order val="0"/>
          <c:tx>
            <c:strRef>
              <c:f>PrePost!$O$151</c:f>
              <c:strCache>
                <c:ptCount val="1"/>
                <c:pt idx="0">
                  <c:v>Intake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PrePost!$N$152</c:f>
              <c:strCache>
                <c:ptCount val="1"/>
                <c:pt idx="0">
                  <c:v>Overall Health is Excellent, Very Good, or Good
(Valid N=9)</c:v>
                </c:pt>
              </c:strCache>
            </c:strRef>
          </c:cat>
          <c:val>
            <c:numRef>
              <c:f>PrePost!$O$152</c:f>
              <c:numCache>
                <c:formatCode>0.0%</c:formatCode>
                <c:ptCount val="1"/>
                <c:pt idx="0">
                  <c:v>0.44444444444444442</c:v>
                </c:pt>
              </c:numCache>
            </c:numRef>
          </c:val>
          <c:extLst>
            <c:ext xmlns:c16="http://schemas.microsoft.com/office/drawing/2014/chart" uri="{C3380CC4-5D6E-409C-BE32-E72D297353CC}">
              <c16:uniqueId val="{00000000-D47C-4D53-975F-A2DF2D681593}"/>
            </c:ext>
          </c:extLst>
        </c:ser>
        <c:ser>
          <c:idx val="1"/>
          <c:order val="1"/>
          <c:tx>
            <c:strRef>
              <c:f>PrePost!$P$151</c:f>
              <c:strCache>
                <c:ptCount val="1"/>
                <c:pt idx="0">
                  <c:v>Post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PrePost!$N$152</c:f>
              <c:strCache>
                <c:ptCount val="1"/>
                <c:pt idx="0">
                  <c:v>Overall Health is Excellent, Very Good, or Good
(Valid N=9)</c:v>
                </c:pt>
              </c:strCache>
            </c:strRef>
          </c:cat>
          <c:val>
            <c:numRef>
              <c:f>PrePost!$P$152</c:f>
              <c:numCache>
                <c:formatCode>0.0%</c:formatCode>
                <c:ptCount val="1"/>
                <c:pt idx="0">
                  <c:v>0.66666666666666674</c:v>
                </c:pt>
              </c:numCache>
            </c:numRef>
          </c:val>
          <c:extLst>
            <c:ext xmlns:c16="http://schemas.microsoft.com/office/drawing/2014/chart" uri="{C3380CC4-5D6E-409C-BE32-E72D297353CC}">
              <c16:uniqueId val="{00000001-D47C-4D53-975F-A2DF2D681593}"/>
            </c:ext>
          </c:extLst>
        </c:ser>
        <c:dLbls>
          <c:showLegendKey val="0"/>
          <c:showVal val="0"/>
          <c:showCatName val="0"/>
          <c:showSerName val="0"/>
          <c:showPercent val="0"/>
          <c:showBubbleSize val="0"/>
        </c:dLbls>
        <c:gapWidth val="219"/>
        <c:overlap val="-27"/>
        <c:axId val="1449234480"/>
        <c:axId val="1552607536"/>
      </c:barChart>
      <c:catAx>
        <c:axId val="144923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1552607536"/>
        <c:crosses val="autoZero"/>
        <c:auto val="1"/>
        <c:lblAlgn val="ctr"/>
        <c:lblOffset val="100"/>
        <c:noMultiLvlLbl val="0"/>
      </c:catAx>
      <c:valAx>
        <c:axId val="1552607536"/>
        <c:scaling>
          <c:orientation val="minMax"/>
        </c:scaling>
        <c:delete val="1"/>
        <c:axPos val="l"/>
        <c:numFmt formatCode="0%" sourceLinked="0"/>
        <c:majorTickMark val="none"/>
        <c:minorTickMark val="none"/>
        <c:tickLblPos val="nextTo"/>
        <c:crossAx val="1449234480"/>
        <c:crosses val="autoZero"/>
        <c:crossBetween val="between"/>
      </c:valAx>
      <c:spPr>
        <a:noFill/>
        <a:ln>
          <a:noFill/>
        </a:ln>
        <a:effectLst/>
      </c:spPr>
    </c:plotArea>
    <c:legend>
      <c:legendPos val="t"/>
      <c:layout>
        <c:manualLayout>
          <c:xMode val="edge"/>
          <c:yMode val="edge"/>
          <c:x val="0.2403912705356275"/>
          <c:y val="3.5978150757471107E-2"/>
          <c:w val="0.4219194128511714"/>
          <c:h val="8.493183143773694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11348763124374378"/>
          <c:w val="0.93888888888888888"/>
          <c:h val="0.6504467949857643"/>
        </c:manualLayout>
      </c:layout>
      <c:barChart>
        <c:barDir val="col"/>
        <c:grouping val="clustered"/>
        <c:varyColors val="0"/>
        <c:ser>
          <c:idx val="0"/>
          <c:order val="0"/>
          <c:tx>
            <c:strRef>
              <c:f>PrePost!$O$160</c:f>
              <c:strCache>
                <c:ptCount val="1"/>
                <c:pt idx="0">
                  <c:v>Intake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PrePost!$N$161</c:f>
              <c:strCache>
                <c:ptCount val="1"/>
                <c:pt idx="0">
                  <c:v> Quality of Life is Good or Very Good
(Valid N=10)</c:v>
                </c:pt>
              </c:strCache>
            </c:strRef>
          </c:cat>
          <c:val>
            <c:numRef>
              <c:f>PrePost!$O$161</c:f>
              <c:numCache>
                <c:formatCode>0.0%</c:formatCode>
                <c:ptCount val="1"/>
                <c:pt idx="0">
                  <c:v>0.5</c:v>
                </c:pt>
              </c:numCache>
            </c:numRef>
          </c:val>
          <c:extLst>
            <c:ext xmlns:c16="http://schemas.microsoft.com/office/drawing/2014/chart" uri="{C3380CC4-5D6E-409C-BE32-E72D297353CC}">
              <c16:uniqueId val="{00000000-97AB-4A6D-8DD6-1D99A43548F2}"/>
            </c:ext>
          </c:extLst>
        </c:ser>
        <c:ser>
          <c:idx val="1"/>
          <c:order val="1"/>
          <c:tx>
            <c:strRef>
              <c:f>PrePost!$P$160</c:f>
              <c:strCache>
                <c:ptCount val="1"/>
                <c:pt idx="0">
                  <c:v>Post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PrePost!$N$161</c:f>
              <c:strCache>
                <c:ptCount val="1"/>
                <c:pt idx="0">
                  <c:v> Quality of Life is Good or Very Good
(Valid N=10)</c:v>
                </c:pt>
              </c:strCache>
            </c:strRef>
          </c:cat>
          <c:val>
            <c:numRef>
              <c:f>PrePost!$P$161</c:f>
              <c:numCache>
                <c:formatCode>0.0%</c:formatCode>
                <c:ptCount val="1"/>
                <c:pt idx="0">
                  <c:v>0.8</c:v>
                </c:pt>
              </c:numCache>
            </c:numRef>
          </c:val>
          <c:extLst>
            <c:ext xmlns:c16="http://schemas.microsoft.com/office/drawing/2014/chart" uri="{C3380CC4-5D6E-409C-BE32-E72D297353CC}">
              <c16:uniqueId val="{00000001-97AB-4A6D-8DD6-1D99A43548F2}"/>
            </c:ext>
          </c:extLst>
        </c:ser>
        <c:dLbls>
          <c:showLegendKey val="0"/>
          <c:showVal val="0"/>
          <c:showCatName val="0"/>
          <c:showSerName val="0"/>
          <c:showPercent val="0"/>
          <c:showBubbleSize val="0"/>
        </c:dLbls>
        <c:gapWidth val="219"/>
        <c:overlap val="-27"/>
        <c:axId val="1597857168"/>
        <c:axId val="1442699168"/>
      </c:barChart>
      <c:catAx>
        <c:axId val="159785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1442699168"/>
        <c:crosses val="autoZero"/>
        <c:auto val="1"/>
        <c:lblAlgn val="ctr"/>
        <c:lblOffset val="100"/>
        <c:noMultiLvlLbl val="0"/>
      </c:catAx>
      <c:valAx>
        <c:axId val="1442699168"/>
        <c:scaling>
          <c:orientation val="minMax"/>
        </c:scaling>
        <c:delete val="1"/>
        <c:axPos val="l"/>
        <c:numFmt formatCode="0%" sourceLinked="0"/>
        <c:majorTickMark val="none"/>
        <c:minorTickMark val="none"/>
        <c:tickLblPos val="nextTo"/>
        <c:crossAx val="1597857168"/>
        <c:crosses val="autoZero"/>
        <c:crossBetween val="between"/>
      </c:valAx>
      <c:spPr>
        <a:noFill/>
        <a:ln>
          <a:noFill/>
        </a:ln>
        <a:effectLst/>
      </c:spPr>
    </c:plotArea>
    <c:legend>
      <c:legendPos val="t"/>
      <c:layout>
        <c:manualLayout>
          <c:xMode val="edge"/>
          <c:yMode val="edge"/>
          <c:x val="0.28008967629046372"/>
          <c:y val="4.8489086890454482E-2"/>
          <c:w val="0.4358083017400603"/>
          <c:h val="6.949973267230485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17090675050633267"/>
          <c:w val="0.93888888888888888"/>
          <c:h val="0.58154216288971017"/>
        </c:manualLayout>
      </c:layout>
      <c:barChart>
        <c:barDir val="col"/>
        <c:grouping val="clustered"/>
        <c:varyColors val="0"/>
        <c:ser>
          <c:idx val="0"/>
          <c:order val="0"/>
          <c:tx>
            <c:strRef>
              <c:f>PrePost!$O$169</c:f>
              <c:strCache>
                <c:ptCount val="1"/>
                <c:pt idx="0">
                  <c:v>Intake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PrePost!$N$170</c:f>
              <c:strCache>
                <c:ptCount val="1"/>
                <c:pt idx="0">
                  <c:v>Satisfied or Very Satisfied with Themselves
(Valid N=11)</c:v>
                </c:pt>
              </c:strCache>
            </c:strRef>
          </c:cat>
          <c:val>
            <c:numRef>
              <c:f>PrePost!$O$170</c:f>
              <c:numCache>
                <c:formatCode>0.0%</c:formatCode>
                <c:ptCount val="1"/>
                <c:pt idx="0">
                  <c:v>0.36363636363636365</c:v>
                </c:pt>
              </c:numCache>
            </c:numRef>
          </c:val>
          <c:extLst>
            <c:ext xmlns:c16="http://schemas.microsoft.com/office/drawing/2014/chart" uri="{C3380CC4-5D6E-409C-BE32-E72D297353CC}">
              <c16:uniqueId val="{00000000-2550-4F61-9EC0-DF0E60C409C5}"/>
            </c:ext>
          </c:extLst>
        </c:ser>
        <c:ser>
          <c:idx val="1"/>
          <c:order val="1"/>
          <c:tx>
            <c:strRef>
              <c:f>PrePost!$P$169</c:f>
              <c:strCache>
                <c:ptCount val="1"/>
                <c:pt idx="0">
                  <c:v>Post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PrePost!$N$170</c:f>
              <c:strCache>
                <c:ptCount val="1"/>
                <c:pt idx="0">
                  <c:v>Satisfied or Very Satisfied with Themselves
(Valid N=11)</c:v>
                </c:pt>
              </c:strCache>
            </c:strRef>
          </c:cat>
          <c:val>
            <c:numRef>
              <c:f>PrePost!$P$170</c:f>
              <c:numCache>
                <c:formatCode>0.0%</c:formatCode>
                <c:ptCount val="1"/>
                <c:pt idx="0">
                  <c:v>0.63636363636363635</c:v>
                </c:pt>
              </c:numCache>
            </c:numRef>
          </c:val>
          <c:extLst>
            <c:ext xmlns:c16="http://schemas.microsoft.com/office/drawing/2014/chart" uri="{C3380CC4-5D6E-409C-BE32-E72D297353CC}">
              <c16:uniqueId val="{00000001-2550-4F61-9EC0-DF0E60C409C5}"/>
            </c:ext>
          </c:extLst>
        </c:ser>
        <c:dLbls>
          <c:showLegendKey val="0"/>
          <c:showVal val="0"/>
          <c:showCatName val="0"/>
          <c:showSerName val="0"/>
          <c:showPercent val="0"/>
          <c:showBubbleSize val="0"/>
        </c:dLbls>
        <c:gapWidth val="219"/>
        <c:overlap val="-27"/>
        <c:axId val="1455702544"/>
        <c:axId val="1292477072"/>
      </c:barChart>
      <c:catAx>
        <c:axId val="145570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1292477072"/>
        <c:crosses val="autoZero"/>
        <c:auto val="1"/>
        <c:lblAlgn val="ctr"/>
        <c:lblOffset val="100"/>
        <c:noMultiLvlLbl val="0"/>
      </c:catAx>
      <c:valAx>
        <c:axId val="1292477072"/>
        <c:scaling>
          <c:orientation val="minMax"/>
        </c:scaling>
        <c:delete val="1"/>
        <c:axPos val="l"/>
        <c:numFmt formatCode="0%" sourceLinked="0"/>
        <c:majorTickMark val="none"/>
        <c:minorTickMark val="none"/>
        <c:tickLblPos val="nextTo"/>
        <c:crossAx val="14557025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Sheet1!$A$12:$A$16</c:f>
              <c:strCache>
                <c:ptCount val="5"/>
                <c:pt idx="0">
                  <c:v>Other EBP training*</c:v>
                </c:pt>
                <c:pt idx="1">
                  <c:v>Peer Support Model</c:v>
                </c:pt>
                <c:pt idx="2">
                  <c:v>Screening/Assessment tool</c:v>
                </c:pt>
                <c:pt idx="3">
                  <c:v>Wraparound Model</c:v>
                </c:pt>
                <c:pt idx="4">
                  <c:v>The Seven Challenges</c:v>
                </c:pt>
              </c:strCache>
            </c:strRef>
          </c:cat>
          <c:val>
            <c:numRef>
              <c:f>Sheet1!$B$12:$B$16</c:f>
              <c:numCache>
                <c:formatCode>0%</c:formatCode>
                <c:ptCount val="5"/>
                <c:pt idx="0">
                  <c:v>0.25</c:v>
                </c:pt>
                <c:pt idx="1">
                  <c:v>0</c:v>
                </c:pt>
                <c:pt idx="2">
                  <c:v>0.5</c:v>
                </c:pt>
                <c:pt idx="3">
                  <c:v>0.625</c:v>
                </c:pt>
                <c:pt idx="4">
                  <c:v>0.625</c:v>
                </c:pt>
              </c:numCache>
            </c:numRef>
          </c:val>
          <c:extLst>
            <c:ext xmlns:c16="http://schemas.microsoft.com/office/drawing/2014/chart" uri="{C3380CC4-5D6E-409C-BE32-E72D297353CC}">
              <c16:uniqueId val="{00000000-148B-4EC0-8F0C-38A6A8209382}"/>
            </c:ext>
          </c:extLst>
        </c:ser>
        <c:dLbls>
          <c:dLblPos val="outEnd"/>
          <c:showLegendKey val="0"/>
          <c:showVal val="1"/>
          <c:showCatName val="0"/>
          <c:showSerName val="0"/>
          <c:showPercent val="0"/>
          <c:showBubbleSize val="0"/>
        </c:dLbls>
        <c:gapWidth val="149"/>
        <c:axId val="1070023200"/>
        <c:axId val="983348032"/>
      </c:barChart>
      <c:catAx>
        <c:axId val="1070023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983348032"/>
        <c:crosses val="autoZero"/>
        <c:auto val="1"/>
        <c:lblAlgn val="ctr"/>
        <c:lblOffset val="100"/>
        <c:noMultiLvlLbl val="0"/>
      </c:catAx>
      <c:valAx>
        <c:axId val="983348032"/>
        <c:scaling>
          <c:orientation val="minMax"/>
        </c:scaling>
        <c:delete val="1"/>
        <c:axPos val="b"/>
        <c:numFmt formatCode="0%" sourceLinked="1"/>
        <c:majorTickMark val="none"/>
        <c:minorTickMark val="none"/>
        <c:tickLblPos val="nextTo"/>
        <c:crossAx val="1070023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50617283950615E-2"/>
          <c:y val="0.17796254086660221"/>
          <c:w val="0.9320987654320988"/>
          <c:h val="0.45193511995211127"/>
        </c:manualLayout>
      </c:layout>
      <c:barChart>
        <c:barDir val="col"/>
        <c:grouping val="clustered"/>
        <c:varyColors val="0"/>
        <c:ser>
          <c:idx val="0"/>
          <c:order val="0"/>
          <c:tx>
            <c:strRef>
              <c:f>PrePost!$O$178</c:f>
              <c:strCache>
                <c:ptCount val="1"/>
                <c:pt idx="0">
                  <c:v>Intake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PrePost!$N$179</c:f>
              <c:strCache>
                <c:ptCount val="1"/>
                <c:pt idx="0">
                  <c:v>Had Interaction with Family and/or Friends That are Supportive of Their Recovery
(Valid N=11)</c:v>
                </c:pt>
              </c:strCache>
            </c:strRef>
          </c:cat>
          <c:val>
            <c:numRef>
              <c:f>PrePost!$O$179</c:f>
              <c:numCache>
                <c:formatCode>0.0%</c:formatCode>
                <c:ptCount val="1"/>
                <c:pt idx="0">
                  <c:v>0.90909090909090906</c:v>
                </c:pt>
              </c:numCache>
            </c:numRef>
          </c:val>
          <c:extLst>
            <c:ext xmlns:c16="http://schemas.microsoft.com/office/drawing/2014/chart" uri="{C3380CC4-5D6E-409C-BE32-E72D297353CC}">
              <c16:uniqueId val="{00000000-735D-4869-8374-250E567D3DE7}"/>
            </c:ext>
          </c:extLst>
        </c:ser>
        <c:ser>
          <c:idx val="1"/>
          <c:order val="1"/>
          <c:tx>
            <c:strRef>
              <c:f>PrePost!$P$178</c:f>
              <c:strCache>
                <c:ptCount val="1"/>
                <c:pt idx="0">
                  <c:v>Post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PrePost!$N$179</c:f>
              <c:strCache>
                <c:ptCount val="1"/>
                <c:pt idx="0">
                  <c:v>Had Interaction with Family and/or Friends That are Supportive of Their Recovery
(Valid N=11)</c:v>
                </c:pt>
              </c:strCache>
            </c:strRef>
          </c:cat>
          <c:val>
            <c:numRef>
              <c:f>PrePost!$P$179</c:f>
              <c:numCache>
                <c:formatCode>0.0%</c:formatCode>
                <c:ptCount val="1"/>
                <c:pt idx="0">
                  <c:v>0.90909090909090906</c:v>
                </c:pt>
              </c:numCache>
            </c:numRef>
          </c:val>
          <c:extLst>
            <c:ext xmlns:c16="http://schemas.microsoft.com/office/drawing/2014/chart" uri="{C3380CC4-5D6E-409C-BE32-E72D297353CC}">
              <c16:uniqueId val="{00000001-735D-4869-8374-250E567D3DE7}"/>
            </c:ext>
          </c:extLst>
        </c:ser>
        <c:dLbls>
          <c:showLegendKey val="0"/>
          <c:showVal val="0"/>
          <c:showCatName val="0"/>
          <c:showSerName val="0"/>
          <c:showPercent val="0"/>
          <c:showBubbleSize val="0"/>
        </c:dLbls>
        <c:gapWidth val="219"/>
        <c:overlap val="-27"/>
        <c:axId val="1597869968"/>
        <c:axId val="1442714560"/>
      </c:barChart>
      <c:catAx>
        <c:axId val="159786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1442714560"/>
        <c:crosses val="autoZero"/>
        <c:auto val="1"/>
        <c:lblAlgn val="ctr"/>
        <c:lblOffset val="100"/>
        <c:noMultiLvlLbl val="0"/>
      </c:catAx>
      <c:valAx>
        <c:axId val="1442714560"/>
        <c:scaling>
          <c:orientation val="minMax"/>
        </c:scaling>
        <c:delete val="1"/>
        <c:axPos val="l"/>
        <c:numFmt formatCode="0%" sourceLinked="0"/>
        <c:majorTickMark val="none"/>
        <c:minorTickMark val="none"/>
        <c:tickLblPos val="nextTo"/>
        <c:crossAx val="1597869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50617283950615E-2"/>
          <c:y val="0.23644207303034492"/>
          <c:w val="0.9320987654320988"/>
          <c:h val="0.5757655293088364"/>
        </c:manualLayout>
      </c:layout>
      <c:barChart>
        <c:barDir val="col"/>
        <c:grouping val="clustered"/>
        <c:varyColors val="0"/>
        <c:ser>
          <c:idx val="0"/>
          <c:order val="0"/>
          <c:tx>
            <c:strRef>
              <c:f>'Graphs''17''19'!$B$4</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'Graphs''17''19'!$A$5:$A$6</c:f>
              <c:strCache>
                <c:ptCount val="2"/>
                <c:pt idx="0">
                  <c:v>New Hampshire</c:v>
                </c:pt>
                <c:pt idx="1">
                  <c:v>Greater Nashua</c:v>
                </c:pt>
              </c:strCache>
            </c:strRef>
          </c:cat>
          <c:val>
            <c:numRef>
              <c:f>'Graphs''17''19'!$B$5:$B$6</c:f>
              <c:numCache>
                <c:formatCode>0.0%</c:formatCode>
                <c:ptCount val="2"/>
                <c:pt idx="0">
                  <c:v>0.29599999999999993</c:v>
                </c:pt>
                <c:pt idx="1">
                  <c:v>0.28900000000000003</c:v>
                </c:pt>
              </c:numCache>
            </c:numRef>
          </c:val>
          <c:extLst>
            <c:ext xmlns:c16="http://schemas.microsoft.com/office/drawing/2014/chart" uri="{C3380CC4-5D6E-409C-BE32-E72D297353CC}">
              <c16:uniqueId val="{00000000-C4EB-4A86-B045-50D9341FC9D5}"/>
            </c:ext>
          </c:extLst>
        </c:ser>
        <c:ser>
          <c:idx val="1"/>
          <c:order val="1"/>
          <c:tx>
            <c:strRef>
              <c:f>'Graphs''17''19'!$C$4</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'Graphs''17''19'!$A$5:$A$6</c:f>
              <c:strCache>
                <c:ptCount val="2"/>
                <c:pt idx="0">
                  <c:v>New Hampshire</c:v>
                </c:pt>
                <c:pt idx="1">
                  <c:v>Greater Nashua</c:v>
                </c:pt>
              </c:strCache>
            </c:strRef>
          </c:cat>
          <c:val>
            <c:numRef>
              <c:f>'Graphs''17''19'!$C$5:$C$6</c:f>
              <c:numCache>
                <c:formatCode>0.0%</c:formatCode>
                <c:ptCount val="2"/>
                <c:pt idx="0">
                  <c:v>0.26799999999999996</c:v>
                </c:pt>
                <c:pt idx="1">
                  <c:v>0.25</c:v>
                </c:pt>
              </c:numCache>
            </c:numRef>
          </c:val>
          <c:extLst>
            <c:ext xmlns:c16="http://schemas.microsoft.com/office/drawing/2014/chart" uri="{C3380CC4-5D6E-409C-BE32-E72D297353CC}">
              <c16:uniqueId val="{00000001-C4EB-4A86-B045-50D9341FC9D5}"/>
            </c:ext>
          </c:extLst>
        </c:ser>
        <c:dLbls>
          <c:dLblPos val="outEnd"/>
          <c:showLegendKey val="0"/>
          <c:showVal val="1"/>
          <c:showCatName val="0"/>
          <c:showSerName val="0"/>
          <c:showPercent val="0"/>
          <c:showBubbleSize val="0"/>
        </c:dLbls>
        <c:gapWidth val="219"/>
        <c:overlap val="-27"/>
        <c:axId val="446865848"/>
        <c:axId val="446859944"/>
      </c:barChart>
      <c:catAx>
        <c:axId val="44686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46859944"/>
        <c:crosses val="autoZero"/>
        <c:auto val="1"/>
        <c:lblAlgn val="ctr"/>
        <c:lblOffset val="100"/>
        <c:noMultiLvlLbl val="0"/>
      </c:catAx>
      <c:valAx>
        <c:axId val="446859944"/>
        <c:scaling>
          <c:orientation val="minMax"/>
        </c:scaling>
        <c:delete val="1"/>
        <c:axPos val="l"/>
        <c:numFmt formatCode="0.0%" sourceLinked="1"/>
        <c:majorTickMark val="none"/>
        <c:minorTickMark val="none"/>
        <c:tickLblPos val="nextTo"/>
        <c:crossAx val="446865848"/>
        <c:crosses val="autoZero"/>
        <c:crossBetween val="between"/>
      </c:valAx>
      <c:spPr>
        <a:noFill/>
        <a:ln>
          <a:noFill/>
        </a:ln>
        <a:effectLst/>
      </c:spPr>
    </c:plotArea>
    <c:legend>
      <c:legendPos val="t"/>
      <c:layout>
        <c:manualLayout>
          <c:xMode val="edge"/>
          <c:yMode val="edge"/>
          <c:x val="0.12522358316321572"/>
          <c:y val="5.8479532163742687E-2"/>
          <c:w val="0.27424419169825992"/>
          <c:h val="0.134102891743795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50617283950615E-2"/>
          <c:y val="0.19258242390753788"/>
          <c:w val="0.9320987654320988"/>
          <c:h val="0.61962517843164344"/>
        </c:manualLayout>
      </c:layout>
      <c:barChart>
        <c:barDir val="col"/>
        <c:grouping val="clustered"/>
        <c:varyColors val="0"/>
        <c:ser>
          <c:idx val="0"/>
          <c:order val="0"/>
          <c:tx>
            <c:strRef>
              <c:f>'Graphs''17''19'!$B$19</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'Graphs''17''19'!$A$20:$A$21</c:f>
              <c:strCache>
                <c:ptCount val="2"/>
                <c:pt idx="0">
                  <c:v>New Hampshire</c:v>
                </c:pt>
                <c:pt idx="1">
                  <c:v>Greater Nashua</c:v>
                </c:pt>
              </c:strCache>
            </c:strRef>
          </c:cat>
          <c:val>
            <c:numRef>
              <c:f>'Graphs''17''19'!$B$20:$B$21</c:f>
              <c:numCache>
                <c:formatCode>0.0%</c:formatCode>
                <c:ptCount val="2"/>
                <c:pt idx="0">
                  <c:v>0.16</c:v>
                </c:pt>
                <c:pt idx="1">
                  <c:v>0.14099999999999993</c:v>
                </c:pt>
              </c:numCache>
            </c:numRef>
          </c:val>
          <c:extLst>
            <c:ext xmlns:c16="http://schemas.microsoft.com/office/drawing/2014/chart" uri="{C3380CC4-5D6E-409C-BE32-E72D297353CC}">
              <c16:uniqueId val="{00000000-EEBC-46E6-B033-3D16EAB80075}"/>
            </c:ext>
          </c:extLst>
        </c:ser>
        <c:ser>
          <c:idx val="1"/>
          <c:order val="1"/>
          <c:tx>
            <c:strRef>
              <c:f>'Graphs''17''19'!$C$19</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'Graphs''17''19'!$A$20:$A$21</c:f>
              <c:strCache>
                <c:ptCount val="2"/>
                <c:pt idx="0">
                  <c:v>New Hampshire</c:v>
                </c:pt>
                <c:pt idx="1">
                  <c:v>Greater Nashua</c:v>
                </c:pt>
              </c:strCache>
            </c:strRef>
          </c:cat>
          <c:val>
            <c:numRef>
              <c:f>'Graphs''17''19'!$C$20:$C$21</c:f>
              <c:numCache>
                <c:formatCode>0.0%</c:formatCode>
                <c:ptCount val="2"/>
                <c:pt idx="0">
                  <c:v>0.14400000000000004</c:v>
                </c:pt>
                <c:pt idx="1">
                  <c:v>0.13</c:v>
                </c:pt>
              </c:numCache>
            </c:numRef>
          </c:val>
          <c:extLst>
            <c:ext xmlns:c16="http://schemas.microsoft.com/office/drawing/2014/chart" uri="{C3380CC4-5D6E-409C-BE32-E72D297353CC}">
              <c16:uniqueId val="{00000001-EEBC-46E6-B033-3D16EAB80075}"/>
            </c:ext>
          </c:extLst>
        </c:ser>
        <c:dLbls>
          <c:dLblPos val="outEnd"/>
          <c:showLegendKey val="0"/>
          <c:showVal val="1"/>
          <c:showCatName val="0"/>
          <c:showSerName val="0"/>
          <c:showPercent val="0"/>
          <c:showBubbleSize val="0"/>
        </c:dLbls>
        <c:gapWidth val="219"/>
        <c:overlap val="-27"/>
        <c:axId val="446865848"/>
        <c:axId val="446859944"/>
      </c:barChart>
      <c:catAx>
        <c:axId val="44686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46859944"/>
        <c:crosses val="autoZero"/>
        <c:auto val="1"/>
        <c:lblAlgn val="ctr"/>
        <c:lblOffset val="100"/>
        <c:noMultiLvlLbl val="0"/>
      </c:catAx>
      <c:valAx>
        <c:axId val="446859944"/>
        <c:scaling>
          <c:orientation val="minMax"/>
        </c:scaling>
        <c:delete val="1"/>
        <c:axPos val="l"/>
        <c:numFmt formatCode="0.0%" sourceLinked="1"/>
        <c:majorTickMark val="none"/>
        <c:minorTickMark val="none"/>
        <c:tickLblPos val="nextTo"/>
        <c:crossAx val="446865848"/>
        <c:crosses val="autoZero"/>
        <c:crossBetween val="between"/>
      </c:valAx>
      <c:spPr>
        <a:noFill/>
        <a:ln>
          <a:noFill/>
        </a:ln>
        <a:effectLst/>
      </c:spPr>
    </c:plotArea>
    <c:legend>
      <c:legendPos val="t"/>
      <c:layout>
        <c:manualLayout>
          <c:xMode val="edge"/>
          <c:yMode val="edge"/>
          <c:x val="0.10361864489161077"/>
          <c:y val="4.3859649122807015E-2"/>
          <c:w val="0.27424419169825992"/>
          <c:h val="0.134102891743795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50617283950615E-2"/>
          <c:y val="0.1998923654280057"/>
          <c:w val="0.9320987654320988"/>
          <c:h val="0.61231523691117562"/>
        </c:manualLayout>
      </c:layout>
      <c:barChart>
        <c:barDir val="col"/>
        <c:grouping val="clustered"/>
        <c:varyColors val="0"/>
        <c:ser>
          <c:idx val="0"/>
          <c:order val="0"/>
          <c:tx>
            <c:strRef>
              <c:f>'Graphs''17''19'!$P$49</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'Graphs''17''19'!$O$50:$O$51</c:f>
              <c:strCache>
                <c:ptCount val="2"/>
                <c:pt idx="0">
                  <c:v>New Hampshire</c:v>
                </c:pt>
                <c:pt idx="1">
                  <c:v>Greater Nashua</c:v>
                </c:pt>
              </c:strCache>
            </c:strRef>
          </c:cat>
          <c:val>
            <c:numRef>
              <c:f>'Graphs''17''19'!$P$50:$P$51</c:f>
              <c:numCache>
                <c:formatCode>0.0%</c:formatCode>
                <c:ptCount val="2"/>
                <c:pt idx="0">
                  <c:v>0.24799999999999997</c:v>
                </c:pt>
                <c:pt idx="1">
                  <c:v>0.20899999999999999</c:v>
                </c:pt>
              </c:numCache>
            </c:numRef>
          </c:val>
          <c:extLst>
            <c:ext xmlns:c16="http://schemas.microsoft.com/office/drawing/2014/chart" uri="{C3380CC4-5D6E-409C-BE32-E72D297353CC}">
              <c16:uniqueId val="{00000000-0426-451F-9FC8-293E20BD6BFD}"/>
            </c:ext>
          </c:extLst>
        </c:ser>
        <c:ser>
          <c:idx val="1"/>
          <c:order val="1"/>
          <c:tx>
            <c:strRef>
              <c:f>'Graphs''17''19'!$Q$49</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'Graphs''17''19'!$O$50:$O$51</c:f>
              <c:strCache>
                <c:ptCount val="2"/>
                <c:pt idx="0">
                  <c:v>New Hampshire</c:v>
                </c:pt>
                <c:pt idx="1">
                  <c:v>Greater Nashua</c:v>
                </c:pt>
              </c:strCache>
            </c:strRef>
          </c:cat>
          <c:val>
            <c:numRef>
              <c:f>'Graphs''17''19'!$Q$50:$Q$51</c:f>
              <c:numCache>
                <c:formatCode>0.0%</c:formatCode>
                <c:ptCount val="2"/>
                <c:pt idx="0">
                  <c:v>0.318</c:v>
                </c:pt>
                <c:pt idx="1">
                  <c:v>0.30599999999999999</c:v>
                </c:pt>
              </c:numCache>
            </c:numRef>
          </c:val>
          <c:extLst>
            <c:ext xmlns:c16="http://schemas.microsoft.com/office/drawing/2014/chart" uri="{C3380CC4-5D6E-409C-BE32-E72D297353CC}">
              <c16:uniqueId val="{00000001-0426-451F-9FC8-293E20BD6BFD}"/>
            </c:ext>
          </c:extLst>
        </c:ser>
        <c:dLbls>
          <c:dLblPos val="outEnd"/>
          <c:showLegendKey val="0"/>
          <c:showVal val="1"/>
          <c:showCatName val="0"/>
          <c:showSerName val="0"/>
          <c:showPercent val="0"/>
          <c:showBubbleSize val="0"/>
        </c:dLbls>
        <c:gapWidth val="219"/>
        <c:overlap val="-27"/>
        <c:axId val="446865848"/>
        <c:axId val="446859944"/>
      </c:barChart>
      <c:catAx>
        <c:axId val="44686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46859944"/>
        <c:crosses val="autoZero"/>
        <c:auto val="1"/>
        <c:lblAlgn val="ctr"/>
        <c:lblOffset val="100"/>
        <c:noMultiLvlLbl val="0"/>
      </c:catAx>
      <c:valAx>
        <c:axId val="446859944"/>
        <c:scaling>
          <c:orientation val="minMax"/>
        </c:scaling>
        <c:delete val="1"/>
        <c:axPos val="l"/>
        <c:numFmt formatCode="0.0%" sourceLinked="1"/>
        <c:majorTickMark val="none"/>
        <c:minorTickMark val="none"/>
        <c:tickLblPos val="nextTo"/>
        <c:crossAx val="446865848"/>
        <c:crosses val="autoZero"/>
        <c:crossBetween val="between"/>
      </c:valAx>
      <c:spPr>
        <a:noFill/>
        <a:ln>
          <a:noFill/>
        </a:ln>
        <a:effectLst/>
      </c:spPr>
    </c:plotArea>
    <c:legend>
      <c:legendPos val="t"/>
      <c:layout>
        <c:manualLayout>
          <c:xMode val="edge"/>
          <c:yMode val="edge"/>
          <c:x val="9.7445805385437928E-2"/>
          <c:y val="5.1169590643274851E-2"/>
          <c:w val="0.27424419169825992"/>
          <c:h val="0.134102891743795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50617283950615E-2"/>
          <c:y val="0.15603271630519869"/>
          <c:w val="0.9320987654320988"/>
          <c:h val="0.65617488603398255"/>
        </c:manualLayout>
      </c:layout>
      <c:barChart>
        <c:barDir val="col"/>
        <c:grouping val="clustered"/>
        <c:varyColors val="0"/>
        <c:ser>
          <c:idx val="0"/>
          <c:order val="0"/>
          <c:tx>
            <c:strRef>
              <c:f>'Graphs''17''19'!$B$35</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'Graphs''17''19'!$A$36:$A$37</c:f>
              <c:strCache>
                <c:ptCount val="2"/>
                <c:pt idx="0">
                  <c:v>New Hampshire</c:v>
                </c:pt>
                <c:pt idx="1">
                  <c:v>Greater Nashua</c:v>
                </c:pt>
              </c:strCache>
            </c:strRef>
          </c:cat>
          <c:val>
            <c:numRef>
              <c:f>'Graphs''17''19'!$B$36:$B$37</c:f>
              <c:numCache>
                <c:formatCode>0.0%</c:formatCode>
                <c:ptCount val="2"/>
                <c:pt idx="0">
                  <c:v>0.67799999999999994</c:v>
                </c:pt>
                <c:pt idx="1">
                  <c:v>0.68</c:v>
                </c:pt>
              </c:numCache>
            </c:numRef>
          </c:val>
          <c:extLst>
            <c:ext xmlns:c16="http://schemas.microsoft.com/office/drawing/2014/chart" uri="{C3380CC4-5D6E-409C-BE32-E72D297353CC}">
              <c16:uniqueId val="{00000000-EF86-4194-B4D5-5A366F9C23D0}"/>
            </c:ext>
          </c:extLst>
        </c:ser>
        <c:ser>
          <c:idx val="1"/>
          <c:order val="1"/>
          <c:tx>
            <c:strRef>
              <c:f>'Graphs''17''19'!$C$35</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'Graphs''17''19'!$A$36:$A$37</c:f>
              <c:strCache>
                <c:ptCount val="2"/>
                <c:pt idx="0">
                  <c:v>New Hampshire</c:v>
                </c:pt>
                <c:pt idx="1">
                  <c:v>Greater Nashua</c:v>
                </c:pt>
              </c:strCache>
            </c:strRef>
          </c:cat>
          <c:val>
            <c:numRef>
              <c:f>'Graphs''17''19'!$C$36:$C$37</c:f>
              <c:numCache>
                <c:formatCode>0.0%</c:formatCode>
                <c:ptCount val="2"/>
                <c:pt idx="0">
                  <c:v>0.71</c:v>
                </c:pt>
                <c:pt idx="1">
                  <c:v>0.745</c:v>
                </c:pt>
              </c:numCache>
            </c:numRef>
          </c:val>
          <c:extLst>
            <c:ext xmlns:c16="http://schemas.microsoft.com/office/drawing/2014/chart" uri="{C3380CC4-5D6E-409C-BE32-E72D297353CC}">
              <c16:uniqueId val="{00000001-EF86-4194-B4D5-5A366F9C23D0}"/>
            </c:ext>
          </c:extLst>
        </c:ser>
        <c:dLbls>
          <c:dLblPos val="outEnd"/>
          <c:showLegendKey val="0"/>
          <c:showVal val="1"/>
          <c:showCatName val="0"/>
          <c:showSerName val="0"/>
          <c:showPercent val="0"/>
          <c:showBubbleSize val="0"/>
        </c:dLbls>
        <c:gapWidth val="219"/>
        <c:overlap val="-27"/>
        <c:axId val="446865848"/>
        <c:axId val="446859944"/>
      </c:barChart>
      <c:catAx>
        <c:axId val="44686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46859944"/>
        <c:crosses val="autoZero"/>
        <c:auto val="1"/>
        <c:lblAlgn val="ctr"/>
        <c:lblOffset val="100"/>
        <c:noMultiLvlLbl val="0"/>
      </c:catAx>
      <c:valAx>
        <c:axId val="446859944"/>
        <c:scaling>
          <c:orientation val="minMax"/>
        </c:scaling>
        <c:delete val="1"/>
        <c:axPos val="l"/>
        <c:numFmt formatCode="0.0%" sourceLinked="1"/>
        <c:majorTickMark val="none"/>
        <c:minorTickMark val="none"/>
        <c:tickLblPos val="nextTo"/>
        <c:crossAx val="446865848"/>
        <c:crosses val="autoZero"/>
        <c:crossBetween val="between"/>
      </c:valAx>
      <c:spPr>
        <a:noFill/>
        <a:ln>
          <a:noFill/>
        </a:ln>
        <a:effectLst/>
      </c:spPr>
    </c:plotArea>
    <c:legend>
      <c:legendPos val="t"/>
      <c:layout>
        <c:manualLayout>
          <c:xMode val="edge"/>
          <c:yMode val="edge"/>
          <c:x val="0.12831000291630212"/>
          <c:y val="7.3099415204678359E-2"/>
          <c:w val="0.27424419169825992"/>
          <c:h val="0.134102891743795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50617283950615E-2"/>
          <c:y val="0.21451224846894137"/>
          <c:w val="0.9320987654320988"/>
          <c:h val="0.59769535387023986"/>
        </c:manualLayout>
      </c:layout>
      <c:barChart>
        <c:barDir val="col"/>
        <c:grouping val="clustered"/>
        <c:varyColors val="0"/>
        <c:ser>
          <c:idx val="0"/>
          <c:order val="0"/>
          <c:tx>
            <c:strRef>
              <c:f>'Graphs''17''19'!$B$49</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'Graphs''17''19'!$A$50:$A$51</c:f>
              <c:strCache>
                <c:ptCount val="2"/>
                <c:pt idx="0">
                  <c:v>New Hampshire</c:v>
                </c:pt>
                <c:pt idx="1">
                  <c:v>Greater Nashua</c:v>
                </c:pt>
              </c:strCache>
            </c:strRef>
          </c:cat>
          <c:val>
            <c:numRef>
              <c:f>'Graphs''17''19'!$B$50:$B$51</c:f>
              <c:numCache>
                <c:formatCode>0.0%</c:formatCode>
                <c:ptCount val="2"/>
                <c:pt idx="0">
                  <c:v>0.23099999999999996</c:v>
                </c:pt>
                <c:pt idx="1">
                  <c:v>0.22</c:v>
                </c:pt>
              </c:numCache>
            </c:numRef>
          </c:val>
          <c:extLst>
            <c:ext xmlns:c16="http://schemas.microsoft.com/office/drawing/2014/chart" uri="{C3380CC4-5D6E-409C-BE32-E72D297353CC}">
              <c16:uniqueId val="{00000000-D119-45D9-928D-50323D462EB8}"/>
            </c:ext>
          </c:extLst>
        </c:ser>
        <c:ser>
          <c:idx val="1"/>
          <c:order val="1"/>
          <c:tx>
            <c:strRef>
              <c:f>'Graphs''17''19'!$C$49</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'Graphs''17''19'!$A$50:$A$51</c:f>
              <c:strCache>
                <c:ptCount val="2"/>
                <c:pt idx="0">
                  <c:v>New Hampshire</c:v>
                </c:pt>
                <c:pt idx="1">
                  <c:v>Greater Nashua</c:v>
                </c:pt>
              </c:strCache>
            </c:strRef>
          </c:cat>
          <c:val>
            <c:numRef>
              <c:f>'Graphs''17''19'!$C$50:$C$51</c:f>
              <c:numCache>
                <c:formatCode>0.0%</c:formatCode>
                <c:ptCount val="2"/>
                <c:pt idx="0">
                  <c:v>0.26099999999999995</c:v>
                </c:pt>
                <c:pt idx="1">
                  <c:v>0.25299999999999995</c:v>
                </c:pt>
              </c:numCache>
            </c:numRef>
          </c:val>
          <c:extLst>
            <c:ext xmlns:c16="http://schemas.microsoft.com/office/drawing/2014/chart" uri="{C3380CC4-5D6E-409C-BE32-E72D297353CC}">
              <c16:uniqueId val="{00000001-D119-45D9-928D-50323D462EB8}"/>
            </c:ext>
          </c:extLst>
        </c:ser>
        <c:dLbls>
          <c:dLblPos val="outEnd"/>
          <c:showLegendKey val="0"/>
          <c:showVal val="1"/>
          <c:showCatName val="0"/>
          <c:showSerName val="0"/>
          <c:showPercent val="0"/>
          <c:showBubbleSize val="0"/>
        </c:dLbls>
        <c:gapWidth val="219"/>
        <c:overlap val="-27"/>
        <c:axId val="446865848"/>
        <c:axId val="446859944"/>
      </c:barChart>
      <c:catAx>
        <c:axId val="44686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46859944"/>
        <c:crosses val="autoZero"/>
        <c:auto val="1"/>
        <c:lblAlgn val="ctr"/>
        <c:lblOffset val="100"/>
        <c:noMultiLvlLbl val="0"/>
      </c:catAx>
      <c:valAx>
        <c:axId val="446859944"/>
        <c:scaling>
          <c:orientation val="minMax"/>
        </c:scaling>
        <c:delete val="1"/>
        <c:axPos val="l"/>
        <c:numFmt formatCode="0.0%" sourceLinked="1"/>
        <c:majorTickMark val="none"/>
        <c:minorTickMark val="none"/>
        <c:tickLblPos val="nextTo"/>
        <c:crossAx val="446865848"/>
        <c:crosses val="autoZero"/>
        <c:crossBetween val="between"/>
      </c:valAx>
      <c:spPr>
        <a:noFill/>
        <a:ln>
          <a:noFill/>
        </a:ln>
        <a:effectLst/>
      </c:spPr>
    </c:plotArea>
    <c:legend>
      <c:legendPos val="t"/>
      <c:layout>
        <c:manualLayout>
          <c:xMode val="edge"/>
          <c:yMode val="edge"/>
          <c:x val="0.10979148439778361"/>
          <c:y val="5.8479532163742687E-2"/>
          <c:w val="0.27424419169825992"/>
          <c:h val="0.134102891743795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50617283950615E-2"/>
          <c:y val="0.14141283326426302"/>
          <c:w val="0.9320987654320988"/>
          <c:h val="0.67079476907491831"/>
        </c:manualLayout>
      </c:layout>
      <c:barChart>
        <c:barDir val="col"/>
        <c:grouping val="clustered"/>
        <c:varyColors val="0"/>
        <c:ser>
          <c:idx val="0"/>
          <c:order val="0"/>
          <c:tx>
            <c:strRef>
              <c:f>'Graphs''17''19'!$P$64</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'Graphs''17''19'!$O$65:$O$66</c:f>
              <c:strCache>
                <c:ptCount val="2"/>
                <c:pt idx="0">
                  <c:v>New Hampshire</c:v>
                </c:pt>
                <c:pt idx="1">
                  <c:v>Greater Nashua</c:v>
                </c:pt>
              </c:strCache>
            </c:strRef>
          </c:cat>
          <c:val>
            <c:numRef>
              <c:f>'Graphs''17''19'!$P$65:$P$66</c:f>
              <c:numCache>
                <c:formatCode>0.0%</c:formatCode>
                <c:ptCount val="2"/>
                <c:pt idx="0">
                  <c:v>0.621</c:v>
                </c:pt>
                <c:pt idx="1">
                  <c:v>0.59900000000000009</c:v>
                </c:pt>
              </c:numCache>
            </c:numRef>
          </c:val>
          <c:extLst>
            <c:ext xmlns:c16="http://schemas.microsoft.com/office/drawing/2014/chart" uri="{C3380CC4-5D6E-409C-BE32-E72D297353CC}">
              <c16:uniqueId val="{00000000-5939-48A9-ABA1-657DA0825F4C}"/>
            </c:ext>
          </c:extLst>
        </c:ser>
        <c:ser>
          <c:idx val="1"/>
          <c:order val="1"/>
          <c:tx>
            <c:strRef>
              <c:f>'Graphs''17''19'!$Q$64</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'Graphs''17''19'!$O$65:$O$66</c:f>
              <c:strCache>
                <c:ptCount val="2"/>
                <c:pt idx="0">
                  <c:v>New Hampshire</c:v>
                </c:pt>
                <c:pt idx="1">
                  <c:v>Greater Nashua</c:v>
                </c:pt>
              </c:strCache>
            </c:strRef>
          </c:cat>
          <c:val>
            <c:numRef>
              <c:f>'Graphs''17''19'!$Q$65:$Q$66</c:f>
              <c:numCache>
                <c:formatCode>0.0%</c:formatCode>
                <c:ptCount val="2"/>
                <c:pt idx="0">
                  <c:v>0.69299999999999995</c:v>
                </c:pt>
                <c:pt idx="1">
                  <c:v>0.68300000000000016</c:v>
                </c:pt>
              </c:numCache>
            </c:numRef>
          </c:val>
          <c:extLst>
            <c:ext xmlns:c16="http://schemas.microsoft.com/office/drawing/2014/chart" uri="{C3380CC4-5D6E-409C-BE32-E72D297353CC}">
              <c16:uniqueId val="{00000001-5939-48A9-ABA1-657DA0825F4C}"/>
            </c:ext>
          </c:extLst>
        </c:ser>
        <c:dLbls>
          <c:dLblPos val="outEnd"/>
          <c:showLegendKey val="0"/>
          <c:showVal val="1"/>
          <c:showCatName val="0"/>
          <c:showSerName val="0"/>
          <c:showPercent val="0"/>
          <c:showBubbleSize val="0"/>
        </c:dLbls>
        <c:gapWidth val="219"/>
        <c:overlap val="-27"/>
        <c:axId val="446865848"/>
        <c:axId val="446859944"/>
      </c:barChart>
      <c:catAx>
        <c:axId val="44686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46859944"/>
        <c:crosses val="autoZero"/>
        <c:auto val="1"/>
        <c:lblAlgn val="ctr"/>
        <c:lblOffset val="100"/>
        <c:noMultiLvlLbl val="0"/>
      </c:catAx>
      <c:valAx>
        <c:axId val="446859944"/>
        <c:scaling>
          <c:orientation val="minMax"/>
        </c:scaling>
        <c:delete val="1"/>
        <c:axPos val="l"/>
        <c:numFmt formatCode="0.0%" sourceLinked="1"/>
        <c:majorTickMark val="none"/>
        <c:minorTickMark val="none"/>
        <c:tickLblPos val="nextTo"/>
        <c:crossAx val="446865848"/>
        <c:crosses val="autoZero"/>
        <c:crossBetween val="between"/>
      </c:valAx>
      <c:spPr>
        <a:noFill/>
        <a:ln>
          <a:noFill/>
        </a:ln>
        <a:effectLst/>
      </c:spPr>
    </c:plotArea>
    <c:legend>
      <c:legendPos val="t"/>
      <c:layout>
        <c:manualLayout>
          <c:xMode val="edge"/>
          <c:yMode val="edge"/>
          <c:x val="0.11905074365704285"/>
          <c:y val="4.3859649122807015E-2"/>
          <c:w val="0.27424419169825992"/>
          <c:h val="0.134102891743795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50617283950615E-2"/>
          <c:y val="0.17065259934613439"/>
          <c:w val="0.9320987654320988"/>
          <c:h val="0.64155500299304691"/>
        </c:manualLayout>
      </c:layout>
      <c:barChart>
        <c:barDir val="col"/>
        <c:grouping val="clustered"/>
        <c:varyColors val="0"/>
        <c:ser>
          <c:idx val="0"/>
          <c:order val="0"/>
          <c:tx>
            <c:strRef>
              <c:f>'Graphs''17''19'!$B$64</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'Graphs''17''19'!$A$65:$A$66</c:f>
              <c:strCache>
                <c:ptCount val="2"/>
                <c:pt idx="0">
                  <c:v>New Hampshire</c:v>
                </c:pt>
                <c:pt idx="1">
                  <c:v>Greater Nashua</c:v>
                </c:pt>
              </c:strCache>
            </c:strRef>
          </c:cat>
          <c:val>
            <c:numRef>
              <c:f>'Graphs''17''19'!$B$65:$B$66</c:f>
              <c:numCache>
                <c:formatCode>0.0%</c:formatCode>
                <c:ptCount val="2"/>
                <c:pt idx="0">
                  <c:v>0.23799999999999996</c:v>
                </c:pt>
                <c:pt idx="1">
                  <c:v>0.21299999999999997</c:v>
                </c:pt>
              </c:numCache>
            </c:numRef>
          </c:val>
          <c:extLst>
            <c:ext xmlns:c16="http://schemas.microsoft.com/office/drawing/2014/chart" uri="{C3380CC4-5D6E-409C-BE32-E72D297353CC}">
              <c16:uniqueId val="{00000000-DE8F-4F06-9430-51971A32E51D}"/>
            </c:ext>
          </c:extLst>
        </c:ser>
        <c:ser>
          <c:idx val="1"/>
          <c:order val="1"/>
          <c:tx>
            <c:strRef>
              <c:f>'Graphs''17''19'!$C$64</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'Graphs''17''19'!$A$65:$A$66</c:f>
              <c:strCache>
                <c:ptCount val="2"/>
                <c:pt idx="0">
                  <c:v>New Hampshire</c:v>
                </c:pt>
                <c:pt idx="1">
                  <c:v>Greater Nashua</c:v>
                </c:pt>
              </c:strCache>
            </c:strRef>
          </c:cat>
          <c:val>
            <c:numRef>
              <c:f>'Graphs''17''19'!$C$65:$C$66</c:f>
              <c:numCache>
                <c:formatCode>0.0%</c:formatCode>
                <c:ptCount val="2"/>
                <c:pt idx="0">
                  <c:v>0.33799999999999997</c:v>
                </c:pt>
                <c:pt idx="1">
                  <c:v>0.30400000000000005</c:v>
                </c:pt>
              </c:numCache>
            </c:numRef>
          </c:val>
          <c:extLst>
            <c:ext xmlns:c16="http://schemas.microsoft.com/office/drawing/2014/chart" uri="{C3380CC4-5D6E-409C-BE32-E72D297353CC}">
              <c16:uniqueId val="{00000001-DE8F-4F06-9430-51971A32E51D}"/>
            </c:ext>
          </c:extLst>
        </c:ser>
        <c:dLbls>
          <c:dLblPos val="outEnd"/>
          <c:showLegendKey val="0"/>
          <c:showVal val="1"/>
          <c:showCatName val="0"/>
          <c:showSerName val="0"/>
          <c:showPercent val="0"/>
          <c:showBubbleSize val="0"/>
        </c:dLbls>
        <c:gapWidth val="219"/>
        <c:overlap val="-27"/>
        <c:axId val="446865848"/>
        <c:axId val="446859944"/>
      </c:barChart>
      <c:catAx>
        <c:axId val="44686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46859944"/>
        <c:crosses val="autoZero"/>
        <c:auto val="1"/>
        <c:lblAlgn val="ctr"/>
        <c:lblOffset val="100"/>
        <c:noMultiLvlLbl val="0"/>
      </c:catAx>
      <c:valAx>
        <c:axId val="446859944"/>
        <c:scaling>
          <c:orientation val="minMax"/>
        </c:scaling>
        <c:delete val="1"/>
        <c:axPos val="l"/>
        <c:numFmt formatCode="0.0%" sourceLinked="1"/>
        <c:majorTickMark val="none"/>
        <c:minorTickMark val="none"/>
        <c:tickLblPos val="nextTo"/>
        <c:crossAx val="446865848"/>
        <c:crosses val="autoZero"/>
        <c:crossBetween val="between"/>
      </c:valAx>
      <c:spPr>
        <a:noFill/>
        <a:ln>
          <a:noFill/>
        </a:ln>
        <a:effectLst/>
      </c:spPr>
    </c:plotArea>
    <c:legend>
      <c:legendPos val="t"/>
      <c:layout>
        <c:manualLayout>
          <c:xMode val="edge"/>
          <c:yMode val="edge"/>
          <c:x val="0.11596432390395645"/>
          <c:y val="5.8479532163742687E-2"/>
          <c:w val="0.27424419169825992"/>
          <c:h val="0.134102891743795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50617283950615E-2"/>
          <c:y val="0.18527248238707003"/>
          <c:w val="0.9320987654320988"/>
          <c:h val="0.62693511995211126"/>
        </c:manualLayout>
      </c:layout>
      <c:barChart>
        <c:barDir val="col"/>
        <c:grouping val="clustered"/>
        <c:varyColors val="0"/>
        <c:ser>
          <c:idx val="0"/>
          <c:order val="0"/>
          <c:tx>
            <c:strRef>
              <c:f>'Graphs''17''19'!$B$77</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'Graphs''17''19'!$A$78:$A$79</c:f>
              <c:strCache>
                <c:ptCount val="2"/>
                <c:pt idx="0">
                  <c:v>New Hampshire</c:v>
                </c:pt>
                <c:pt idx="1">
                  <c:v>Greater Nashua</c:v>
                </c:pt>
              </c:strCache>
            </c:strRef>
          </c:cat>
          <c:val>
            <c:numRef>
              <c:f>'Graphs''17''19'!$B$78:$B$79</c:f>
              <c:numCache>
                <c:formatCode>0.0%</c:formatCode>
                <c:ptCount val="2"/>
                <c:pt idx="0">
                  <c:v>5.2000000000000025E-2</c:v>
                </c:pt>
                <c:pt idx="1">
                  <c:v>4.5999999999999944E-2</c:v>
                </c:pt>
              </c:numCache>
            </c:numRef>
          </c:val>
          <c:extLst>
            <c:ext xmlns:c16="http://schemas.microsoft.com/office/drawing/2014/chart" uri="{C3380CC4-5D6E-409C-BE32-E72D297353CC}">
              <c16:uniqueId val="{00000000-F1CF-47A9-9286-8728911F53B2}"/>
            </c:ext>
          </c:extLst>
        </c:ser>
        <c:ser>
          <c:idx val="1"/>
          <c:order val="1"/>
          <c:tx>
            <c:strRef>
              <c:f>'Graphs''17''19'!$C$77</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'Graphs''17''19'!$A$78:$A$79</c:f>
              <c:strCache>
                <c:ptCount val="2"/>
                <c:pt idx="0">
                  <c:v>New Hampshire</c:v>
                </c:pt>
                <c:pt idx="1">
                  <c:v>Greater Nashua</c:v>
                </c:pt>
              </c:strCache>
            </c:strRef>
          </c:cat>
          <c:val>
            <c:numRef>
              <c:f>'Graphs''17''19'!$C$78:$C$79</c:f>
              <c:numCache>
                <c:formatCode>0.0%</c:formatCode>
                <c:ptCount val="2"/>
                <c:pt idx="0">
                  <c:v>4.2999999999999969E-2</c:v>
                </c:pt>
                <c:pt idx="1">
                  <c:v>3.5999999999999942E-2</c:v>
                </c:pt>
              </c:numCache>
            </c:numRef>
          </c:val>
          <c:extLst>
            <c:ext xmlns:c16="http://schemas.microsoft.com/office/drawing/2014/chart" uri="{C3380CC4-5D6E-409C-BE32-E72D297353CC}">
              <c16:uniqueId val="{00000001-F1CF-47A9-9286-8728911F53B2}"/>
            </c:ext>
          </c:extLst>
        </c:ser>
        <c:dLbls>
          <c:dLblPos val="outEnd"/>
          <c:showLegendKey val="0"/>
          <c:showVal val="1"/>
          <c:showCatName val="0"/>
          <c:showSerName val="0"/>
          <c:showPercent val="0"/>
          <c:showBubbleSize val="0"/>
        </c:dLbls>
        <c:gapWidth val="219"/>
        <c:overlap val="-27"/>
        <c:axId val="446865848"/>
        <c:axId val="446859944"/>
      </c:barChart>
      <c:catAx>
        <c:axId val="44686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46859944"/>
        <c:crosses val="autoZero"/>
        <c:auto val="1"/>
        <c:lblAlgn val="ctr"/>
        <c:lblOffset val="100"/>
        <c:noMultiLvlLbl val="0"/>
      </c:catAx>
      <c:valAx>
        <c:axId val="446859944"/>
        <c:scaling>
          <c:orientation val="minMax"/>
        </c:scaling>
        <c:delete val="1"/>
        <c:axPos val="l"/>
        <c:numFmt formatCode="0.0%" sourceLinked="1"/>
        <c:majorTickMark val="none"/>
        <c:minorTickMark val="none"/>
        <c:tickLblPos val="nextTo"/>
        <c:crossAx val="446865848"/>
        <c:crosses val="autoZero"/>
        <c:crossBetween val="between"/>
      </c:valAx>
      <c:spPr>
        <a:noFill/>
        <a:ln>
          <a:noFill/>
        </a:ln>
        <a:effectLst/>
      </c:spPr>
    </c:plotArea>
    <c:legend>
      <c:legendPos val="t"/>
      <c:layout>
        <c:manualLayout>
          <c:xMode val="edge"/>
          <c:yMode val="edge"/>
          <c:x val="0.12831000291630212"/>
          <c:y val="6.5789473684210523E-2"/>
          <c:w val="0.27424419169825992"/>
          <c:h val="0.134102891743795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50617283950615E-2"/>
          <c:y val="0.16334265782566657"/>
          <c:w val="0.9320987654320988"/>
          <c:h val="0.64886494451351473"/>
        </c:manualLayout>
      </c:layout>
      <c:barChart>
        <c:barDir val="col"/>
        <c:grouping val="clustered"/>
        <c:varyColors val="0"/>
        <c:ser>
          <c:idx val="0"/>
          <c:order val="0"/>
          <c:tx>
            <c:strRef>
              <c:f>'Graphs''17''19'!$P$4</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'Graphs''17''19'!$O$5:$O$6</c:f>
              <c:strCache>
                <c:ptCount val="2"/>
                <c:pt idx="0">
                  <c:v>New Hampshire</c:v>
                </c:pt>
                <c:pt idx="1">
                  <c:v>Greater Nashua</c:v>
                </c:pt>
              </c:strCache>
            </c:strRef>
          </c:cat>
          <c:val>
            <c:numRef>
              <c:f>'Graphs''17''19'!$P$5:$P$6</c:f>
              <c:numCache>
                <c:formatCode>0.0%</c:formatCode>
                <c:ptCount val="2"/>
                <c:pt idx="0">
                  <c:v>0.28000000000000003</c:v>
                </c:pt>
                <c:pt idx="1">
                  <c:v>0.29699999999999999</c:v>
                </c:pt>
              </c:numCache>
            </c:numRef>
          </c:val>
          <c:extLst>
            <c:ext xmlns:c16="http://schemas.microsoft.com/office/drawing/2014/chart" uri="{C3380CC4-5D6E-409C-BE32-E72D297353CC}">
              <c16:uniqueId val="{00000000-DF3D-47C2-8D7B-7AD279DE3BC9}"/>
            </c:ext>
          </c:extLst>
        </c:ser>
        <c:ser>
          <c:idx val="1"/>
          <c:order val="1"/>
          <c:tx>
            <c:strRef>
              <c:f>'Graphs''17''19'!$Q$4</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'Graphs''17''19'!$O$5:$O$6</c:f>
              <c:strCache>
                <c:ptCount val="2"/>
                <c:pt idx="0">
                  <c:v>New Hampshire</c:v>
                </c:pt>
                <c:pt idx="1">
                  <c:v>Greater Nashua</c:v>
                </c:pt>
              </c:strCache>
            </c:strRef>
          </c:cat>
          <c:val>
            <c:numRef>
              <c:f>'Graphs''17''19'!$Q$5:$Q$6</c:f>
              <c:numCache>
                <c:formatCode>0.0%</c:formatCode>
                <c:ptCount val="2"/>
                <c:pt idx="0">
                  <c:v>0.33600000000000002</c:v>
                </c:pt>
                <c:pt idx="1">
                  <c:v>0.316</c:v>
                </c:pt>
              </c:numCache>
            </c:numRef>
          </c:val>
          <c:extLst>
            <c:ext xmlns:c16="http://schemas.microsoft.com/office/drawing/2014/chart" uri="{C3380CC4-5D6E-409C-BE32-E72D297353CC}">
              <c16:uniqueId val="{00000001-DF3D-47C2-8D7B-7AD279DE3BC9}"/>
            </c:ext>
          </c:extLst>
        </c:ser>
        <c:dLbls>
          <c:dLblPos val="outEnd"/>
          <c:showLegendKey val="0"/>
          <c:showVal val="1"/>
          <c:showCatName val="0"/>
          <c:showSerName val="0"/>
          <c:showPercent val="0"/>
          <c:showBubbleSize val="0"/>
        </c:dLbls>
        <c:gapWidth val="219"/>
        <c:overlap val="-27"/>
        <c:axId val="446865848"/>
        <c:axId val="446859944"/>
      </c:barChart>
      <c:catAx>
        <c:axId val="44686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46859944"/>
        <c:crosses val="autoZero"/>
        <c:auto val="1"/>
        <c:lblAlgn val="ctr"/>
        <c:lblOffset val="100"/>
        <c:noMultiLvlLbl val="0"/>
      </c:catAx>
      <c:valAx>
        <c:axId val="446859944"/>
        <c:scaling>
          <c:orientation val="minMax"/>
        </c:scaling>
        <c:delete val="1"/>
        <c:axPos val="l"/>
        <c:numFmt formatCode="0.0%" sourceLinked="1"/>
        <c:majorTickMark val="none"/>
        <c:minorTickMark val="none"/>
        <c:tickLblPos val="nextTo"/>
        <c:crossAx val="446865848"/>
        <c:crosses val="autoZero"/>
        <c:crossBetween val="between"/>
      </c:valAx>
      <c:spPr>
        <a:noFill/>
        <a:ln>
          <a:noFill/>
        </a:ln>
        <a:effectLst/>
      </c:spPr>
    </c:plotArea>
    <c:legend>
      <c:legendPos val="t"/>
      <c:layout>
        <c:manualLayout>
          <c:xMode val="edge"/>
          <c:yMode val="edge"/>
          <c:x val="0.12213716341012928"/>
          <c:y val="8.0409356725146194E-2"/>
          <c:w val="0.27424419169825992"/>
          <c:h val="0.134102891743795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37243252543222"/>
          <c:y val="0.12090375506836183"/>
          <c:w val="0.83545276505708754"/>
          <c:h val="0.70879109353278047"/>
        </c:manualLayout>
      </c:layout>
      <c:areaChart>
        <c:grouping val="standard"/>
        <c:varyColors val="0"/>
        <c:ser>
          <c:idx val="0"/>
          <c:order val="0"/>
          <c:tx>
            <c:v>Cumulative Intake</c:v>
          </c:tx>
          <c:spPr>
            <a:solidFill>
              <a:schemeClr val="accent1"/>
            </a:solidFill>
            <a:ln>
              <a:solidFill>
                <a:schemeClr val="accent6">
                  <a:lumMod val="50000"/>
                </a:schemeClr>
              </a:solidFill>
            </a:ln>
            <a:effectLst/>
          </c:spPr>
          <c:cat>
            <c:strRef>
              <c:f>'201119'!$A$59:$A$74</c:f>
              <c:strCache>
                <c:ptCount val="16"/>
                <c:pt idx="0">
                  <c:v>Aug '19</c:v>
                </c:pt>
                <c:pt idx="1">
                  <c:v>Sep '19</c:v>
                </c:pt>
                <c:pt idx="2">
                  <c:v>Oct '19</c:v>
                </c:pt>
                <c:pt idx="3">
                  <c:v>Nov '19</c:v>
                </c:pt>
                <c:pt idx="4">
                  <c:v>Dec '19</c:v>
                </c:pt>
                <c:pt idx="5">
                  <c:v>Jan '20</c:v>
                </c:pt>
                <c:pt idx="6">
                  <c:v>Feb '20</c:v>
                </c:pt>
                <c:pt idx="7">
                  <c:v>Mar '20</c:v>
                </c:pt>
                <c:pt idx="8">
                  <c:v>Apr '20</c:v>
                </c:pt>
                <c:pt idx="9">
                  <c:v>May '20</c:v>
                </c:pt>
                <c:pt idx="10">
                  <c:v>Jun '20</c:v>
                </c:pt>
                <c:pt idx="11">
                  <c:v>Jul '20</c:v>
                </c:pt>
                <c:pt idx="12">
                  <c:v>Aug '20</c:v>
                </c:pt>
                <c:pt idx="13">
                  <c:v>Sep '20</c:v>
                </c:pt>
                <c:pt idx="14">
                  <c:v>Oct '20</c:v>
                </c:pt>
                <c:pt idx="15">
                  <c:v>Nov '20</c:v>
                </c:pt>
              </c:strCache>
            </c:strRef>
          </c:cat>
          <c:val>
            <c:numRef>
              <c:f>'201119'!$B$59:$B$74</c:f>
              <c:numCache>
                <c:formatCode>General</c:formatCode>
                <c:ptCount val="16"/>
                <c:pt idx="0">
                  <c:v>1</c:v>
                </c:pt>
                <c:pt idx="1">
                  <c:v>2</c:v>
                </c:pt>
                <c:pt idx="2">
                  <c:v>8</c:v>
                </c:pt>
                <c:pt idx="3">
                  <c:v>22</c:v>
                </c:pt>
                <c:pt idx="4">
                  <c:v>28</c:v>
                </c:pt>
                <c:pt idx="5">
                  <c:v>36</c:v>
                </c:pt>
                <c:pt idx="6">
                  <c:v>37</c:v>
                </c:pt>
                <c:pt idx="7">
                  <c:v>37</c:v>
                </c:pt>
                <c:pt idx="8">
                  <c:v>38</c:v>
                </c:pt>
                <c:pt idx="9">
                  <c:v>38</c:v>
                </c:pt>
                <c:pt idx="10">
                  <c:v>38</c:v>
                </c:pt>
                <c:pt idx="11">
                  <c:v>39</c:v>
                </c:pt>
                <c:pt idx="12">
                  <c:v>41</c:v>
                </c:pt>
                <c:pt idx="13">
                  <c:v>41</c:v>
                </c:pt>
                <c:pt idx="14">
                  <c:v>42</c:v>
                </c:pt>
                <c:pt idx="15">
                  <c:v>44</c:v>
                </c:pt>
              </c:numCache>
            </c:numRef>
          </c:val>
          <c:extLst>
            <c:ext xmlns:c16="http://schemas.microsoft.com/office/drawing/2014/chart" uri="{C3380CC4-5D6E-409C-BE32-E72D297353CC}">
              <c16:uniqueId val="{00000000-0E61-41BC-AE80-EACC8BB9AC3E}"/>
            </c:ext>
          </c:extLst>
        </c:ser>
        <c:dLbls>
          <c:showLegendKey val="0"/>
          <c:showVal val="0"/>
          <c:showCatName val="0"/>
          <c:showSerName val="0"/>
          <c:showPercent val="0"/>
          <c:showBubbleSize val="0"/>
        </c:dLbls>
        <c:axId val="430617432"/>
        <c:axId val="430609232"/>
      </c:areaChart>
      <c:catAx>
        <c:axId val="430617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430609232"/>
        <c:crosses val="autoZero"/>
        <c:auto val="1"/>
        <c:lblAlgn val="ctr"/>
        <c:lblOffset val="100"/>
        <c:noMultiLvlLbl val="0"/>
      </c:catAx>
      <c:valAx>
        <c:axId val="430609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430617432"/>
        <c:crosses val="autoZero"/>
        <c:crossBetween val="midCat"/>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j-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mj-lt"/>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50617283950615E-2"/>
          <c:y val="0.21451224846894137"/>
          <c:w val="0.9320987654320988"/>
          <c:h val="0.59769535387023986"/>
        </c:manualLayout>
      </c:layout>
      <c:barChart>
        <c:barDir val="col"/>
        <c:grouping val="clustered"/>
        <c:varyColors val="0"/>
        <c:ser>
          <c:idx val="0"/>
          <c:order val="0"/>
          <c:tx>
            <c:strRef>
              <c:f>'Graphs''17''19'!$P$19</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'Graphs''17''19'!$O$20:$O$21</c:f>
              <c:strCache>
                <c:ptCount val="2"/>
                <c:pt idx="0">
                  <c:v>New Hampshire</c:v>
                </c:pt>
                <c:pt idx="1">
                  <c:v>Greater Nashua</c:v>
                </c:pt>
              </c:strCache>
            </c:strRef>
          </c:cat>
          <c:val>
            <c:numRef>
              <c:f>'Graphs''17''19'!$P$20:$P$21</c:f>
              <c:numCache>
                <c:formatCode>0.0%</c:formatCode>
                <c:ptCount val="2"/>
                <c:pt idx="0">
                  <c:v>0.17099999999999993</c:v>
                </c:pt>
                <c:pt idx="1">
                  <c:v>0.17200000000000004</c:v>
                </c:pt>
              </c:numCache>
            </c:numRef>
          </c:val>
          <c:extLst>
            <c:ext xmlns:c16="http://schemas.microsoft.com/office/drawing/2014/chart" uri="{C3380CC4-5D6E-409C-BE32-E72D297353CC}">
              <c16:uniqueId val="{00000000-C560-4D19-9562-366019612FDC}"/>
            </c:ext>
          </c:extLst>
        </c:ser>
        <c:ser>
          <c:idx val="1"/>
          <c:order val="1"/>
          <c:tx>
            <c:strRef>
              <c:f>'Graphs''17''19'!$Q$19</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'Graphs''17''19'!$O$20:$O$21</c:f>
              <c:strCache>
                <c:ptCount val="2"/>
                <c:pt idx="0">
                  <c:v>New Hampshire</c:v>
                </c:pt>
                <c:pt idx="1">
                  <c:v>Greater Nashua</c:v>
                </c:pt>
              </c:strCache>
            </c:strRef>
          </c:cat>
          <c:val>
            <c:numRef>
              <c:f>'Graphs''17''19'!$Q$20:$Q$21</c:f>
              <c:numCache>
                <c:formatCode>0.0%</c:formatCode>
                <c:ptCount val="2"/>
                <c:pt idx="0">
                  <c:v>0.19799999999999998</c:v>
                </c:pt>
                <c:pt idx="1">
                  <c:v>0.185</c:v>
                </c:pt>
              </c:numCache>
            </c:numRef>
          </c:val>
          <c:extLst>
            <c:ext xmlns:c16="http://schemas.microsoft.com/office/drawing/2014/chart" uri="{C3380CC4-5D6E-409C-BE32-E72D297353CC}">
              <c16:uniqueId val="{00000001-C560-4D19-9562-366019612FDC}"/>
            </c:ext>
          </c:extLst>
        </c:ser>
        <c:dLbls>
          <c:dLblPos val="outEnd"/>
          <c:showLegendKey val="0"/>
          <c:showVal val="1"/>
          <c:showCatName val="0"/>
          <c:showSerName val="0"/>
          <c:showPercent val="0"/>
          <c:showBubbleSize val="0"/>
        </c:dLbls>
        <c:gapWidth val="219"/>
        <c:overlap val="-27"/>
        <c:axId val="446865848"/>
        <c:axId val="446859944"/>
      </c:barChart>
      <c:catAx>
        <c:axId val="44686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46859944"/>
        <c:crosses val="autoZero"/>
        <c:auto val="1"/>
        <c:lblAlgn val="ctr"/>
        <c:lblOffset val="100"/>
        <c:noMultiLvlLbl val="0"/>
      </c:catAx>
      <c:valAx>
        <c:axId val="446859944"/>
        <c:scaling>
          <c:orientation val="minMax"/>
        </c:scaling>
        <c:delete val="1"/>
        <c:axPos val="l"/>
        <c:numFmt formatCode="0.0%" sourceLinked="1"/>
        <c:majorTickMark val="none"/>
        <c:minorTickMark val="none"/>
        <c:tickLblPos val="nextTo"/>
        <c:crossAx val="446865848"/>
        <c:crosses val="autoZero"/>
        <c:crossBetween val="between"/>
      </c:valAx>
      <c:spPr>
        <a:noFill/>
        <a:ln>
          <a:noFill/>
        </a:ln>
        <a:effectLst/>
      </c:spPr>
    </c:plotArea>
    <c:legend>
      <c:legendPos val="t"/>
      <c:layout>
        <c:manualLayout>
          <c:xMode val="edge"/>
          <c:yMode val="edge"/>
          <c:x val="0.11905074365704285"/>
          <c:y val="4.3859649122807015E-2"/>
          <c:w val="0.27424419169825992"/>
          <c:h val="0.134102891743795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50617283950615E-2"/>
          <c:y val="0.20720230694847355"/>
          <c:w val="0.9320987654320988"/>
          <c:h val="0.60500529539070769"/>
        </c:manualLayout>
      </c:layout>
      <c:barChart>
        <c:barDir val="col"/>
        <c:grouping val="clustered"/>
        <c:varyColors val="0"/>
        <c:ser>
          <c:idx val="0"/>
          <c:order val="0"/>
          <c:tx>
            <c:strRef>
              <c:f>'Graphs''17''19'!$P$35</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'Graphs''17''19'!$O$36:$O$37</c:f>
              <c:strCache>
                <c:ptCount val="2"/>
                <c:pt idx="0">
                  <c:v>New Hampshire</c:v>
                </c:pt>
                <c:pt idx="1">
                  <c:v>Greater Nashua</c:v>
                </c:pt>
              </c:strCache>
            </c:strRef>
          </c:cat>
          <c:val>
            <c:numRef>
              <c:f>'Graphs''17''19'!$P$36:$P$37</c:f>
              <c:numCache>
                <c:formatCode>0.0%</c:formatCode>
                <c:ptCount val="2"/>
                <c:pt idx="0">
                  <c:v>0.161</c:v>
                </c:pt>
                <c:pt idx="1">
                  <c:v>0.16200000000000001</c:v>
                </c:pt>
              </c:numCache>
            </c:numRef>
          </c:val>
          <c:extLst>
            <c:ext xmlns:c16="http://schemas.microsoft.com/office/drawing/2014/chart" uri="{C3380CC4-5D6E-409C-BE32-E72D297353CC}">
              <c16:uniqueId val="{00000000-64DB-47D3-A363-072CEE0B276A}"/>
            </c:ext>
          </c:extLst>
        </c:ser>
        <c:ser>
          <c:idx val="1"/>
          <c:order val="1"/>
          <c:tx>
            <c:strRef>
              <c:f>'Graphs''17''19'!$Q$35</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'Graphs''17''19'!$O$36:$O$37</c:f>
              <c:strCache>
                <c:ptCount val="2"/>
                <c:pt idx="0">
                  <c:v>New Hampshire</c:v>
                </c:pt>
                <c:pt idx="1">
                  <c:v>Greater Nashua</c:v>
                </c:pt>
              </c:strCache>
            </c:strRef>
          </c:cat>
          <c:val>
            <c:numRef>
              <c:f>'Graphs''17''19'!$Q$36:$Q$37</c:f>
              <c:numCache>
                <c:formatCode>0.0%</c:formatCode>
                <c:ptCount val="2"/>
                <c:pt idx="0">
                  <c:v>0.184</c:v>
                </c:pt>
                <c:pt idx="1">
                  <c:v>0.16600000000000001</c:v>
                </c:pt>
              </c:numCache>
            </c:numRef>
          </c:val>
          <c:extLst>
            <c:ext xmlns:c16="http://schemas.microsoft.com/office/drawing/2014/chart" uri="{C3380CC4-5D6E-409C-BE32-E72D297353CC}">
              <c16:uniqueId val="{00000001-64DB-47D3-A363-072CEE0B276A}"/>
            </c:ext>
          </c:extLst>
        </c:ser>
        <c:dLbls>
          <c:dLblPos val="outEnd"/>
          <c:showLegendKey val="0"/>
          <c:showVal val="1"/>
          <c:showCatName val="0"/>
          <c:showSerName val="0"/>
          <c:showPercent val="0"/>
          <c:showBubbleSize val="0"/>
        </c:dLbls>
        <c:gapWidth val="219"/>
        <c:overlap val="-27"/>
        <c:axId val="446865848"/>
        <c:axId val="446859944"/>
      </c:barChart>
      <c:catAx>
        <c:axId val="44686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46859944"/>
        <c:crosses val="autoZero"/>
        <c:auto val="1"/>
        <c:lblAlgn val="ctr"/>
        <c:lblOffset val="100"/>
        <c:noMultiLvlLbl val="0"/>
      </c:catAx>
      <c:valAx>
        <c:axId val="446859944"/>
        <c:scaling>
          <c:orientation val="minMax"/>
        </c:scaling>
        <c:delete val="1"/>
        <c:axPos val="l"/>
        <c:numFmt formatCode="0.0%" sourceLinked="1"/>
        <c:majorTickMark val="none"/>
        <c:minorTickMark val="none"/>
        <c:tickLblPos val="nextTo"/>
        <c:crossAx val="446865848"/>
        <c:crosses val="autoZero"/>
        <c:crossBetween val="between"/>
      </c:valAx>
      <c:spPr>
        <a:noFill/>
        <a:ln>
          <a:noFill/>
        </a:ln>
        <a:effectLst/>
      </c:spPr>
    </c:plotArea>
    <c:legend>
      <c:legendPos val="t"/>
      <c:layout>
        <c:manualLayout>
          <c:xMode val="edge"/>
          <c:yMode val="edge"/>
          <c:x val="0.13448284242247496"/>
          <c:y val="5.1169590643274851E-2"/>
          <c:w val="0.27424419169825992"/>
          <c:h val="0.134102891743795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186033199771037E-2"/>
          <c:y val="3.8054289266473258E-2"/>
          <c:w val="0.78647886816094181"/>
          <c:h val="0.7557685223557582"/>
        </c:manualLayout>
      </c:layout>
      <c:lineChart>
        <c:grouping val="standard"/>
        <c:varyColors val="0"/>
        <c:ser>
          <c:idx val="0"/>
          <c:order val="0"/>
          <c:tx>
            <c:strRef>
              <c:f>'Tables and Graphs'!$I$41</c:f>
              <c:strCache>
                <c:ptCount val="1"/>
                <c:pt idx="0">
                  <c:v>Total U.S.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Graphs'!$J$40:$O$40</c:f>
              <c:strCache>
                <c:ptCount val="6"/>
                <c:pt idx="0">
                  <c:v>2013-2014</c:v>
                </c:pt>
                <c:pt idx="1">
                  <c:v>2014-2015</c:v>
                </c:pt>
                <c:pt idx="2">
                  <c:v>2015-2016</c:v>
                </c:pt>
                <c:pt idx="3">
                  <c:v>2016-2017</c:v>
                </c:pt>
                <c:pt idx="4">
                  <c:v>2017-2018</c:v>
                </c:pt>
                <c:pt idx="5">
                  <c:v>2018-2019</c:v>
                </c:pt>
              </c:strCache>
            </c:strRef>
          </c:cat>
          <c:val>
            <c:numRef>
              <c:f>'Tables and Graphs'!$J$41:$O$41</c:f>
              <c:numCache>
                <c:formatCode>0.0</c:formatCode>
                <c:ptCount val="6"/>
                <c:pt idx="0">
                  <c:v>22.76</c:v>
                </c:pt>
                <c:pt idx="1">
                  <c:v>21.57</c:v>
                </c:pt>
                <c:pt idx="2">
                  <c:v>19.829999999999998</c:v>
                </c:pt>
                <c:pt idx="3">
                  <c:v>19.5</c:v>
                </c:pt>
                <c:pt idx="4">
                  <c:v>19.25</c:v>
                </c:pt>
                <c:pt idx="5">
                  <c:v>18.670000000000002</c:v>
                </c:pt>
              </c:numCache>
            </c:numRef>
          </c:val>
          <c:smooth val="0"/>
          <c:extLst>
            <c:ext xmlns:c16="http://schemas.microsoft.com/office/drawing/2014/chart" uri="{C3380CC4-5D6E-409C-BE32-E72D297353CC}">
              <c16:uniqueId val="{00000000-79E0-4AE4-BBDA-E52DFFB91591}"/>
            </c:ext>
          </c:extLst>
        </c:ser>
        <c:ser>
          <c:idx val="1"/>
          <c:order val="1"/>
          <c:tx>
            <c:strRef>
              <c:f>'Tables and Graphs'!$I$42</c:f>
              <c:strCache>
                <c:ptCount val="1"/>
                <c:pt idx="0">
                  <c:v>New Hampshire</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Graphs'!$J$40:$O$40</c:f>
              <c:strCache>
                <c:ptCount val="6"/>
                <c:pt idx="0">
                  <c:v>2013-2014</c:v>
                </c:pt>
                <c:pt idx="1">
                  <c:v>2014-2015</c:v>
                </c:pt>
                <c:pt idx="2">
                  <c:v>2015-2016</c:v>
                </c:pt>
                <c:pt idx="3">
                  <c:v>2016-2017</c:v>
                </c:pt>
                <c:pt idx="4">
                  <c:v>2017-2018</c:v>
                </c:pt>
                <c:pt idx="5">
                  <c:v>2018-2019</c:v>
                </c:pt>
              </c:strCache>
            </c:strRef>
          </c:cat>
          <c:val>
            <c:numRef>
              <c:f>'Tables and Graphs'!$J$42:$O$42</c:f>
              <c:numCache>
                <c:formatCode>0.0</c:formatCode>
                <c:ptCount val="6"/>
                <c:pt idx="0">
                  <c:v>30.94</c:v>
                </c:pt>
                <c:pt idx="1">
                  <c:v>27.78</c:v>
                </c:pt>
                <c:pt idx="2">
                  <c:v>28.06</c:v>
                </c:pt>
                <c:pt idx="3">
                  <c:v>25.45</c:v>
                </c:pt>
                <c:pt idx="4">
                  <c:v>23.47</c:v>
                </c:pt>
                <c:pt idx="5">
                  <c:v>23.15</c:v>
                </c:pt>
              </c:numCache>
            </c:numRef>
          </c:val>
          <c:smooth val="0"/>
          <c:extLst>
            <c:ext xmlns:c16="http://schemas.microsoft.com/office/drawing/2014/chart" uri="{C3380CC4-5D6E-409C-BE32-E72D297353CC}">
              <c16:uniqueId val="{00000001-79E0-4AE4-BBDA-E52DFFB91591}"/>
            </c:ext>
          </c:extLst>
        </c:ser>
        <c:dLbls>
          <c:showLegendKey val="0"/>
          <c:showVal val="0"/>
          <c:showCatName val="0"/>
          <c:showSerName val="0"/>
          <c:showPercent val="0"/>
          <c:showBubbleSize val="0"/>
        </c:dLbls>
        <c:marker val="1"/>
        <c:smooth val="0"/>
        <c:axId val="511461912"/>
        <c:axId val="511457320"/>
      </c:lineChart>
      <c:catAx>
        <c:axId val="511461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11457320"/>
        <c:crosses val="autoZero"/>
        <c:auto val="1"/>
        <c:lblAlgn val="ctr"/>
        <c:lblOffset val="100"/>
        <c:noMultiLvlLbl val="0"/>
      </c:catAx>
      <c:valAx>
        <c:axId val="511457320"/>
        <c:scaling>
          <c:orientation val="minMax"/>
          <c:max val="50"/>
        </c:scaling>
        <c:delete val="1"/>
        <c:axPos val="l"/>
        <c:numFmt formatCode="0&quot;%&quot;\ " sourceLinked="0"/>
        <c:majorTickMark val="none"/>
        <c:minorTickMark val="none"/>
        <c:tickLblPos val="nextTo"/>
        <c:crossAx val="511461912"/>
        <c:crosses val="autoZero"/>
        <c:crossBetween val="between"/>
        <c:majorUnit val="10"/>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171624713958809E-2"/>
          <c:y val="8.0409356725146194E-2"/>
          <c:w val="0.74141876430205955"/>
          <c:h val="0.75727310401989223"/>
        </c:manualLayout>
      </c:layout>
      <c:lineChart>
        <c:grouping val="standard"/>
        <c:varyColors val="0"/>
        <c:ser>
          <c:idx val="0"/>
          <c:order val="0"/>
          <c:tx>
            <c:strRef>
              <c:f>'Tables and Graphs'!$Y$41</c:f>
              <c:strCache>
                <c:ptCount val="1"/>
                <c:pt idx="0">
                  <c:v>Total U.S.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dLbl>
              <c:idx val="0"/>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6E-4C6F-B56A-F2EE6B5F0335}"/>
                </c:ext>
              </c:extLst>
            </c:dLbl>
            <c:dLbl>
              <c:idx val="1"/>
              <c:layout>
                <c:manualLayout>
                  <c:x val="-5.0925337632079971E-17"/>
                  <c:y val="5.0925925925925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6E-4C6F-B56A-F2EE6B5F0335}"/>
                </c:ext>
              </c:extLst>
            </c:dLbl>
            <c:dLbl>
              <c:idx val="2"/>
              <c:layout>
                <c:manualLayout>
                  <c:x val="0"/>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6E-4C6F-B56A-F2EE6B5F0335}"/>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'Tables and Graphs'!$Z$40:$AC$40</c:f>
              <c:strCache>
                <c:ptCount val="4"/>
                <c:pt idx="0">
                  <c:v>2015-2016</c:v>
                </c:pt>
                <c:pt idx="1">
                  <c:v>2016-2017</c:v>
                </c:pt>
                <c:pt idx="2">
                  <c:v>2017-2018</c:v>
                </c:pt>
                <c:pt idx="3">
                  <c:v>2018-2019</c:v>
                </c:pt>
              </c:strCache>
            </c:strRef>
          </c:cat>
          <c:val>
            <c:numRef>
              <c:f>'Tables and Graphs'!$Z$41:$AC$41</c:f>
              <c:numCache>
                <c:formatCode>0.0</c:formatCode>
                <c:ptCount val="4"/>
                <c:pt idx="0">
                  <c:v>12.71</c:v>
                </c:pt>
                <c:pt idx="1">
                  <c:v>12</c:v>
                </c:pt>
                <c:pt idx="2">
                  <c:v>11.66</c:v>
                </c:pt>
                <c:pt idx="3">
                  <c:v>11.24</c:v>
                </c:pt>
              </c:numCache>
            </c:numRef>
          </c:val>
          <c:smooth val="0"/>
          <c:extLst>
            <c:ext xmlns:c16="http://schemas.microsoft.com/office/drawing/2014/chart" uri="{C3380CC4-5D6E-409C-BE32-E72D297353CC}">
              <c16:uniqueId val="{00000003-EF6E-4C6F-B56A-F2EE6B5F0335}"/>
            </c:ext>
          </c:extLst>
        </c:ser>
        <c:ser>
          <c:idx val="1"/>
          <c:order val="1"/>
          <c:tx>
            <c:strRef>
              <c:f>'Tables and Graphs'!$Y$42</c:f>
              <c:strCache>
                <c:ptCount val="1"/>
                <c:pt idx="0">
                  <c:v>New Hampshire</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0"/>
              <c:layout>
                <c:manualLayout>
                  <c:x val="5.5555555555555297E-3"/>
                  <c:y val="-4.1666666666666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6E-4C6F-B56A-F2EE6B5F0335}"/>
                </c:ext>
              </c:extLst>
            </c:dLbl>
            <c:dLbl>
              <c:idx val="1"/>
              <c:layout>
                <c:manualLayout>
                  <c:x val="5.5555555555555558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6E-4C6F-B56A-F2EE6B5F0335}"/>
                </c:ext>
              </c:extLst>
            </c:dLbl>
            <c:dLbl>
              <c:idx val="2"/>
              <c:layout>
                <c:manualLayout>
                  <c:x val="2.777777777777676E-3"/>
                  <c:y val="-4.1666666666666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6E-4C6F-B56A-F2EE6B5F0335}"/>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'Tables and Graphs'!$Z$40:$AC$40</c:f>
              <c:strCache>
                <c:ptCount val="4"/>
                <c:pt idx="0">
                  <c:v>2015-2016</c:v>
                </c:pt>
                <c:pt idx="1">
                  <c:v>2016-2017</c:v>
                </c:pt>
                <c:pt idx="2">
                  <c:v>2017-2018</c:v>
                </c:pt>
                <c:pt idx="3">
                  <c:v>2018-2019</c:v>
                </c:pt>
              </c:strCache>
            </c:strRef>
          </c:cat>
          <c:val>
            <c:numRef>
              <c:f>'Tables and Graphs'!$Z$42:$AC$42</c:f>
              <c:numCache>
                <c:formatCode>0.0</c:formatCode>
                <c:ptCount val="4"/>
                <c:pt idx="0">
                  <c:v>17.850000000000001</c:v>
                </c:pt>
                <c:pt idx="1">
                  <c:v>15.79</c:v>
                </c:pt>
                <c:pt idx="2">
                  <c:v>15.28</c:v>
                </c:pt>
                <c:pt idx="3">
                  <c:v>14.75</c:v>
                </c:pt>
              </c:numCache>
            </c:numRef>
          </c:val>
          <c:smooth val="0"/>
          <c:extLst>
            <c:ext xmlns:c16="http://schemas.microsoft.com/office/drawing/2014/chart" uri="{C3380CC4-5D6E-409C-BE32-E72D297353CC}">
              <c16:uniqueId val="{00000007-EF6E-4C6F-B56A-F2EE6B5F0335}"/>
            </c:ext>
          </c:extLst>
        </c:ser>
        <c:dLbls>
          <c:showLegendKey val="0"/>
          <c:showVal val="0"/>
          <c:showCatName val="0"/>
          <c:showSerName val="0"/>
          <c:showPercent val="0"/>
          <c:showBubbleSize val="0"/>
        </c:dLbls>
        <c:marker val="1"/>
        <c:smooth val="0"/>
        <c:axId val="148729488"/>
        <c:axId val="2095628528"/>
      </c:lineChart>
      <c:catAx>
        <c:axId val="14872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95628528"/>
        <c:crosses val="autoZero"/>
        <c:auto val="1"/>
        <c:lblAlgn val="ctr"/>
        <c:lblOffset val="100"/>
        <c:noMultiLvlLbl val="0"/>
      </c:catAx>
      <c:valAx>
        <c:axId val="2095628528"/>
        <c:scaling>
          <c:orientation val="minMax"/>
        </c:scaling>
        <c:delete val="1"/>
        <c:axPos val="l"/>
        <c:numFmt formatCode="0&quot;%&quot;\ " sourceLinked="0"/>
        <c:majorTickMark val="none"/>
        <c:minorTickMark val="none"/>
        <c:tickLblPos val="nextTo"/>
        <c:crossAx val="148729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50617283950615E-2"/>
          <c:y val="0.15603271630519869"/>
          <c:w val="0.9320987654320988"/>
          <c:h val="0.65617488603398255"/>
        </c:manualLayout>
      </c:layout>
      <c:barChart>
        <c:barDir val="col"/>
        <c:grouping val="clustered"/>
        <c:varyColors val="0"/>
        <c:ser>
          <c:idx val="0"/>
          <c:order val="0"/>
          <c:tx>
            <c:strRef>
              <c:f>'Tables and Graphs'!$G$218</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Graphs'!$F$219:$F$220</c:f>
              <c:strCache>
                <c:ptCount val="2"/>
                <c:pt idx="0">
                  <c:v>Male</c:v>
                </c:pt>
                <c:pt idx="1">
                  <c:v>Female</c:v>
                </c:pt>
              </c:strCache>
            </c:strRef>
          </c:cat>
          <c:val>
            <c:numRef>
              <c:f>'Tables and Graphs'!$G$219:$G$220</c:f>
              <c:numCache>
                <c:formatCode>General</c:formatCode>
                <c:ptCount val="2"/>
                <c:pt idx="0">
                  <c:v>28.6</c:v>
                </c:pt>
                <c:pt idx="1">
                  <c:v>31.1</c:v>
                </c:pt>
              </c:numCache>
            </c:numRef>
          </c:val>
          <c:extLst>
            <c:ext xmlns:c16="http://schemas.microsoft.com/office/drawing/2014/chart" uri="{C3380CC4-5D6E-409C-BE32-E72D297353CC}">
              <c16:uniqueId val="{00000000-78FD-47F9-9922-7BD81137683E}"/>
            </c:ext>
          </c:extLst>
        </c:ser>
        <c:ser>
          <c:idx val="1"/>
          <c:order val="1"/>
          <c:tx>
            <c:strRef>
              <c:f>'Tables and Graphs'!$H$218</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Graphs'!$F$219:$F$220</c:f>
              <c:strCache>
                <c:ptCount val="2"/>
                <c:pt idx="0">
                  <c:v>Male</c:v>
                </c:pt>
                <c:pt idx="1">
                  <c:v>Female</c:v>
                </c:pt>
              </c:strCache>
            </c:strRef>
          </c:cat>
          <c:val>
            <c:numRef>
              <c:f>'Tables and Graphs'!$H$219:$H$220</c:f>
              <c:numCache>
                <c:formatCode>General</c:formatCode>
                <c:ptCount val="2"/>
                <c:pt idx="0">
                  <c:v>28.5</c:v>
                </c:pt>
                <c:pt idx="1">
                  <c:v>30.7</c:v>
                </c:pt>
              </c:numCache>
            </c:numRef>
          </c:val>
          <c:extLst>
            <c:ext xmlns:c16="http://schemas.microsoft.com/office/drawing/2014/chart" uri="{C3380CC4-5D6E-409C-BE32-E72D297353CC}">
              <c16:uniqueId val="{00000001-78FD-47F9-9922-7BD81137683E}"/>
            </c:ext>
          </c:extLst>
        </c:ser>
        <c:ser>
          <c:idx val="2"/>
          <c:order val="2"/>
          <c:tx>
            <c:strRef>
              <c:f>'Tables and Graphs'!$I$218</c:f>
              <c:strCache>
                <c:ptCount val="1"/>
                <c:pt idx="0">
                  <c:v>2019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Graphs'!$F$219:$F$220</c:f>
              <c:strCache>
                <c:ptCount val="2"/>
                <c:pt idx="0">
                  <c:v>Male</c:v>
                </c:pt>
                <c:pt idx="1">
                  <c:v>Female</c:v>
                </c:pt>
              </c:strCache>
            </c:strRef>
          </c:cat>
          <c:val>
            <c:numRef>
              <c:f>'Tables and Graphs'!$I$219:$I$220</c:f>
              <c:numCache>
                <c:formatCode>0.0</c:formatCode>
                <c:ptCount val="2"/>
                <c:pt idx="0">
                  <c:v>24.700000000000003</c:v>
                </c:pt>
                <c:pt idx="1">
                  <c:v>29</c:v>
                </c:pt>
              </c:numCache>
            </c:numRef>
          </c:val>
          <c:extLst>
            <c:ext xmlns:c16="http://schemas.microsoft.com/office/drawing/2014/chart" uri="{C3380CC4-5D6E-409C-BE32-E72D297353CC}">
              <c16:uniqueId val="{00000002-78FD-47F9-9922-7BD81137683E}"/>
            </c:ext>
          </c:extLst>
        </c:ser>
        <c:dLbls>
          <c:showLegendKey val="0"/>
          <c:showVal val="0"/>
          <c:showCatName val="0"/>
          <c:showSerName val="0"/>
          <c:showPercent val="0"/>
          <c:showBubbleSize val="0"/>
        </c:dLbls>
        <c:gapWidth val="189"/>
        <c:overlap val="-19"/>
        <c:axId val="470158456"/>
        <c:axId val="470150256"/>
      </c:barChart>
      <c:catAx>
        <c:axId val="47015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70150256"/>
        <c:crosses val="autoZero"/>
        <c:auto val="1"/>
        <c:lblAlgn val="ctr"/>
        <c:lblOffset val="100"/>
        <c:noMultiLvlLbl val="0"/>
      </c:catAx>
      <c:valAx>
        <c:axId val="470150256"/>
        <c:scaling>
          <c:orientation val="minMax"/>
          <c:min val="0"/>
        </c:scaling>
        <c:delete val="1"/>
        <c:axPos val="l"/>
        <c:numFmt formatCode="0&quot;%&quot;" sourceLinked="0"/>
        <c:majorTickMark val="none"/>
        <c:minorTickMark val="none"/>
        <c:tickLblPos val="nextTo"/>
        <c:crossAx val="470158456"/>
        <c:crosses val="autoZero"/>
        <c:crossBetween val="between"/>
      </c:valAx>
      <c:spPr>
        <a:noFill/>
        <a:ln>
          <a:noFill/>
        </a:ln>
        <a:effectLst/>
      </c:spPr>
    </c:plotArea>
    <c:legend>
      <c:legendPos val="t"/>
      <c:layout>
        <c:manualLayout>
          <c:xMode val="edge"/>
          <c:yMode val="edge"/>
          <c:x val="9.369932925051036E-2"/>
          <c:y val="5.1169590643274851E-2"/>
          <c:w val="0.3558109750170117"/>
          <c:h val="0.134102891743795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960784313725492E-2"/>
          <c:y val="0.17065259934613439"/>
          <c:w val="0.94607843137254899"/>
          <c:h val="0.64155500299304691"/>
        </c:manualLayout>
      </c:layout>
      <c:barChart>
        <c:barDir val="col"/>
        <c:grouping val="clustered"/>
        <c:varyColors val="0"/>
        <c:ser>
          <c:idx val="0"/>
          <c:order val="0"/>
          <c:tx>
            <c:strRef>
              <c:f>'Tables and Graphs'!$L$218</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Graphs'!$K$219:$K$221</c:f>
              <c:strCache>
                <c:ptCount val="3"/>
                <c:pt idx="0">
                  <c:v>15 or younger</c:v>
                </c:pt>
                <c:pt idx="1">
                  <c:v>16 or 17</c:v>
                </c:pt>
                <c:pt idx="2">
                  <c:v>18 or older</c:v>
                </c:pt>
              </c:strCache>
            </c:strRef>
          </c:cat>
          <c:val>
            <c:numRef>
              <c:f>'Tables and Graphs'!$L$219:$L$221</c:f>
              <c:numCache>
                <c:formatCode>General</c:formatCode>
                <c:ptCount val="3"/>
                <c:pt idx="0">
                  <c:v>18.5</c:v>
                </c:pt>
                <c:pt idx="1">
                  <c:v>34.6</c:v>
                </c:pt>
                <c:pt idx="2">
                  <c:v>44.5</c:v>
                </c:pt>
              </c:numCache>
            </c:numRef>
          </c:val>
          <c:extLst>
            <c:ext xmlns:c16="http://schemas.microsoft.com/office/drawing/2014/chart" uri="{C3380CC4-5D6E-409C-BE32-E72D297353CC}">
              <c16:uniqueId val="{00000000-4430-4C47-B840-6B7E9A267EDA}"/>
            </c:ext>
          </c:extLst>
        </c:ser>
        <c:ser>
          <c:idx val="1"/>
          <c:order val="1"/>
          <c:tx>
            <c:strRef>
              <c:f>'Tables and Graphs'!$M$218</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Graphs'!$K$219:$K$221</c:f>
              <c:strCache>
                <c:ptCount val="3"/>
                <c:pt idx="0">
                  <c:v>15 or younger</c:v>
                </c:pt>
                <c:pt idx="1">
                  <c:v>16 or 17</c:v>
                </c:pt>
                <c:pt idx="2">
                  <c:v>18 or older</c:v>
                </c:pt>
              </c:strCache>
            </c:strRef>
          </c:cat>
          <c:val>
            <c:numRef>
              <c:f>'Tables and Graphs'!$M$219:$M$221</c:f>
              <c:numCache>
                <c:formatCode>General</c:formatCode>
                <c:ptCount val="3"/>
                <c:pt idx="0">
                  <c:v>17.7</c:v>
                </c:pt>
                <c:pt idx="1">
                  <c:v>34.299999999999997</c:v>
                </c:pt>
                <c:pt idx="2">
                  <c:v>44.7</c:v>
                </c:pt>
              </c:numCache>
            </c:numRef>
          </c:val>
          <c:extLst>
            <c:ext xmlns:c16="http://schemas.microsoft.com/office/drawing/2014/chart" uri="{C3380CC4-5D6E-409C-BE32-E72D297353CC}">
              <c16:uniqueId val="{00000001-4430-4C47-B840-6B7E9A267EDA}"/>
            </c:ext>
          </c:extLst>
        </c:ser>
        <c:ser>
          <c:idx val="2"/>
          <c:order val="2"/>
          <c:tx>
            <c:strRef>
              <c:f>'Tables and Graphs'!$N$218</c:f>
              <c:strCache>
                <c:ptCount val="1"/>
                <c:pt idx="0">
                  <c:v>2019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Graphs'!$K$219:$K$221</c:f>
              <c:strCache>
                <c:ptCount val="3"/>
                <c:pt idx="0">
                  <c:v>15 or younger</c:v>
                </c:pt>
                <c:pt idx="1">
                  <c:v>16 or 17</c:v>
                </c:pt>
                <c:pt idx="2">
                  <c:v>18 or older</c:v>
                </c:pt>
              </c:strCache>
            </c:strRef>
          </c:cat>
          <c:val>
            <c:numRef>
              <c:f>'Tables and Graphs'!$N$219:$N$221</c:f>
              <c:numCache>
                <c:formatCode>0.0</c:formatCode>
                <c:ptCount val="3"/>
                <c:pt idx="0">
                  <c:v>17.799999999999997</c:v>
                </c:pt>
                <c:pt idx="1">
                  <c:v>30.200000000000003</c:v>
                </c:pt>
                <c:pt idx="2">
                  <c:v>39.299999999999997</c:v>
                </c:pt>
              </c:numCache>
            </c:numRef>
          </c:val>
          <c:extLst>
            <c:ext xmlns:c16="http://schemas.microsoft.com/office/drawing/2014/chart" uri="{C3380CC4-5D6E-409C-BE32-E72D297353CC}">
              <c16:uniqueId val="{00000002-4430-4C47-B840-6B7E9A267EDA}"/>
            </c:ext>
          </c:extLst>
        </c:ser>
        <c:dLbls>
          <c:showLegendKey val="0"/>
          <c:showVal val="0"/>
          <c:showCatName val="0"/>
          <c:showSerName val="0"/>
          <c:showPercent val="0"/>
          <c:showBubbleSize val="0"/>
        </c:dLbls>
        <c:gapWidth val="190"/>
        <c:overlap val="-19"/>
        <c:axId val="470227664"/>
        <c:axId val="470231272"/>
      </c:barChart>
      <c:catAx>
        <c:axId val="47022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70231272"/>
        <c:crosses val="autoZero"/>
        <c:auto val="1"/>
        <c:lblAlgn val="ctr"/>
        <c:lblOffset val="100"/>
        <c:noMultiLvlLbl val="0"/>
      </c:catAx>
      <c:valAx>
        <c:axId val="470231272"/>
        <c:scaling>
          <c:orientation val="minMax"/>
        </c:scaling>
        <c:delete val="1"/>
        <c:axPos val="l"/>
        <c:numFmt formatCode="0&quot;%&quot;" sourceLinked="0"/>
        <c:majorTickMark val="none"/>
        <c:minorTickMark val="none"/>
        <c:tickLblPos val="nextTo"/>
        <c:crossAx val="470227664"/>
        <c:crosses val="autoZero"/>
        <c:crossBetween val="between"/>
      </c:valAx>
      <c:spPr>
        <a:noFill/>
        <a:ln>
          <a:noFill/>
        </a:ln>
        <a:effectLst/>
      </c:spPr>
    </c:plotArea>
    <c:legend>
      <c:legendPos val="t"/>
      <c:layout>
        <c:manualLayout>
          <c:xMode val="edge"/>
          <c:yMode val="edge"/>
          <c:x val="5.2349467345993494E-2"/>
          <c:y val="5.8479532163742687E-2"/>
          <c:w val="0.28500675467037206"/>
          <c:h val="0.134102891743795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587268993839837E-2"/>
          <c:y val="0.14141283326426302"/>
          <c:w val="0.95482546201232033"/>
          <c:h val="0.57963979831468437"/>
        </c:manualLayout>
      </c:layout>
      <c:barChart>
        <c:barDir val="col"/>
        <c:grouping val="clustered"/>
        <c:varyColors val="0"/>
        <c:ser>
          <c:idx val="0"/>
          <c:order val="0"/>
          <c:tx>
            <c:strRef>
              <c:f>'Tables and Graphs'!$V$218</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Graphs'!$U$219:$U$223</c:f>
              <c:strCache>
                <c:ptCount val="5"/>
                <c:pt idx="0">
                  <c:v>Non-Hispanic Black</c:v>
                </c:pt>
                <c:pt idx="1">
                  <c:v>Hispanic or Latino</c:v>
                </c:pt>
                <c:pt idx="2">
                  <c:v>Non-Hispanic White</c:v>
                </c:pt>
                <c:pt idx="3">
                  <c:v>Non-Hispanic all other races</c:v>
                </c:pt>
                <c:pt idx="4">
                  <c:v>Non-Hispanic multiple races</c:v>
                </c:pt>
              </c:strCache>
            </c:strRef>
          </c:cat>
          <c:val>
            <c:numRef>
              <c:f>'Tables and Graphs'!$V$219:$V$223</c:f>
              <c:numCache>
                <c:formatCode>General</c:formatCode>
                <c:ptCount val="5"/>
                <c:pt idx="0">
                  <c:v>29.3</c:v>
                </c:pt>
                <c:pt idx="1">
                  <c:v>35.6</c:v>
                </c:pt>
                <c:pt idx="2">
                  <c:v>29.9</c:v>
                </c:pt>
                <c:pt idx="3">
                  <c:v>21.4</c:v>
                </c:pt>
                <c:pt idx="4">
                  <c:v>33.799999999999997</c:v>
                </c:pt>
              </c:numCache>
            </c:numRef>
          </c:val>
          <c:extLst>
            <c:ext xmlns:c16="http://schemas.microsoft.com/office/drawing/2014/chart" uri="{C3380CC4-5D6E-409C-BE32-E72D297353CC}">
              <c16:uniqueId val="{00000000-B45D-4C22-A2FE-00C29C4D9A14}"/>
            </c:ext>
          </c:extLst>
        </c:ser>
        <c:ser>
          <c:idx val="1"/>
          <c:order val="1"/>
          <c:tx>
            <c:strRef>
              <c:f>'Tables and Graphs'!$W$218</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Graphs'!$U$219:$U$223</c:f>
              <c:strCache>
                <c:ptCount val="5"/>
                <c:pt idx="0">
                  <c:v>Non-Hispanic Black</c:v>
                </c:pt>
                <c:pt idx="1">
                  <c:v>Hispanic or Latino</c:v>
                </c:pt>
                <c:pt idx="2">
                  <c:v>Non-Hispanic White</c:v>
                </c:pt>
                <c:pt idx="3">
                  <c:v>Non-Hispanic all other races</c:v>
                </c:pt>
                <c:pt idx="4">
                  <c:v>Non-Hispanic multiple races</c:v>
                </c:pt>
              </c:strCache>
            </c:strRef>
          </c:cat>
          <c:val>
            <c:numRef>
              <c:f>'Tables and Graphs'!$W$219:$W$223</c:f>
              <c:numCache>
                <c:formatCode>General</c:formatCode>
                <c:ptCount val="5"/>
                <c:pt idx="0">
                  <c:v>27.6</c:v>
                </c:pt>
                <c:pt idx="1">
                  <c:v>38.6</c:v>
                </c:pt>
                <c:pt idx="2">
                  <c:v>29.6</c:v>
                </c:pt>
                <c:pt idx="3">
                  <c:v>20.6</c:v>
                </c:pt>
                <c:pt idx="4">
                  <c:v>26.2</c:v>
                </c:pt>
              </c:numCache>
            </c:numRef>
          </c:val>
          <c:extLst>
            <c:ext xmlns:c16="http://schemas.microsoft.com/office/drawing/2014/chart" uri="{C3380CC4-5D6E-409C-BE32-E72D297353CC}">
              <c16:uniqueId val="{00000001-B45D-4C22-A2FE-00C29C4D9A14}"/>
            </c:ext>
          </c:extLst>
        </c:ser>
        <c:ser>
          <c:idx val="2"/>
          <c:order val="2"/>
          <c:tx>
            <c:strRef>
              <c:f>'Tables and Graphs'!$X$218</c:f>
              <c:strCache>
                <c:ptCount val="1"/>
                <c:pt idx="0">
                  <c:v>2019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Graphs'!$U$219:$U$223</c:f>
              <c:strCache>
                <c:ptCount val="5"/>
                <c:pt idx="0">
                  <c:v>Non-Hispanic Black</c:v>
                </c:pt>
                <c:pt idx="1">
                  <c:v>Hispanic or Latino</c:v>
                </c:pt>
                <c:pt idx="2">
                  <c:v>Non-Hispanic White</c:v>
                </c:pt>
                <c:pt idx="3">
                  <c:v>Non-Hispanic all other races</c:v>
                </c:pt>
                <c:pt idx="4">
                  <c:v>Non-Hispanic multiple races</c:v>
                </c:pt>
              </c:strCache>
            </c:strRef>
          </c:cat>
          <c:val>
            <c:numRef>
              <c:f>'Tables and Graphs'!$X$219:$X$223</c:f>
              <c:numCache>
                <c:formatCode>0.0</c:formatCode>
                <c:ptCount val="5"/>
                <c:pt idx="0">
                  <c:v>16.400000000000006</c:v>
                </c:pt>
                <c:pt idx="1">
                  <c:v>30.799999999999997</c:v>
                </c:pt>
                <c:pt idx="2">
                  <c:v>27.5</c:v>
                </c:pt>
                <c:pt idx="3">
                  <c:v>17.599999999999994</c:v>
                </c:pt>
                <c:pt idx="4">
                  <c:v>24.799999999999997</c:v>
                </c:pt>
              </c:numCache>
            </c:numRef>
          </c:val>
          <c:extLst>
            <c:ext xmlns:c16="http://schemas.microsoft.com/office/drawing/2014/chart" uri="{C3380CC4-5D6E-409C-BE32-E72D297353CC}">
              <c16:uniqueId val="{00000002-B45D-4C22-A2FE-00C29C4D9A14}"/>
            </c:ext>
          </c:extLst>
        </c:ser>
        <c:dLbls>
          <c:showLegendKey val="0"/>
          <c:showVal val="0"/>
          <c:showCatName val="0"/>
          <c:showSerName val="0"/>
          <c:showPercent val="0"/>
          <c:showBubbleSize val="0"/>
        </c:dLbls>
        <c:gapWidth val="104"/>
        <c:overlap val="-9"/>
        <c:axId val="470136152"/>
        <c:axId val="470137464"/>
      </c:barChart>
      <c:catAx>
        <c:axId val="47013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70137464"/>
        <c:crosses val="autoZero"/>
        <c:auto val="1"/>
        <c:lblAlgn val="ctr"/>
        <c:lblOffset val="100"/>
        <c:noMultiLvlLbl val="0"/>
      </c:catAx>
      <c:valAx>
        <c:axId val="470137464"/>
        <c:scaling>
          <c:orientation val="minMax"/>
        </c:scaling>
        <c:delete val="1"/>
        <c:axPos val="l"/>
        <c:numFmt formatCode="0&quot;%&quot;" sourceLinked="0"/>
        <c:majorTickMark val="none"/>
        <c:minorTickMark val="none"/>
        <c:tickLblPos val="nextTo"/>
        <c:crossAx val="470136152"/>
        <c:crosses val="autoZero"/>
        <c:crossBetween val="between"/>
      </c:valAx>
      <c:spPr>
        <a:noFill/>
        <a:ln>
          <a:noFill/>
        </a:ln>
        <a:effectLst/>
      </c:spPr>
    </c:plotArea>
    <c:legend>
      <c:legendPos val="t"/>
      <c:layout>
        <c:manualLayout>
          <c:xMode val="edge"/>
          <c:yMode val="edge"/>
          <c:x val="1.5890151821371403E-2"/>
          <c:y val="5.1169590643274851E-2"/>
          <c:w val="0.24017057672719042"/>
          <c:h val="0.134102891743795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441647597254004E-2"/>
          <c:y val="3.3130727080167609E-3"/>
          <c:w val="0.81477071658948808"/>
          <c:h val="0.81430388635631068"/>
        </c:manualLayout>
      </c:layout>
      <c:lineChart>
        <c:grouping val="standard"/>
        <c:varyColors val="0"/>
        <c:ser>
          <c:idx val="0"/>
          <c:order val="0"/>
          <c:tx>
            <c:strRef>
              <c:f>'Tables and Graphs'!$I$51</c:f>
              <c:strCache>
                <c:ptCount val="1"/>
                <c:pt idx="0">
                  <c:v>Total U.S.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j-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Graphs'!$J$50:$O$50</c:f>
              <c:strCache>
                <c:ptCount val="6"/>
                <c:pt idx="0">
                  <c:v>2013-2014</c:v>
                </c:pt>
                <c:pt idx="1">
                  <c:v>2014-2015</c:v>
                </c:pt>
                <c:pt idx="2">
                  <c:v>2015-2016</c:v>
                </c:pt>
                <c:pt idx="3">
                  <c:v>2016-2017</c:v>
                </c:pt>
                <c:pt idx="4">
                  <c:v>2017-2018</c:v>
                </c:pt>
                <c:pt idx="5">
                  <c:v>2018-2019</c:v>
                </c:pt>
              </c:strCache>
            </c:strRef>
          </c:cat>
          <c:val>
            <c:numRef>
              <c:f>'Tables and Graphs'!$J$51:$O$51</c:f>
              <c:numCache>
                <c:formatCode>0.0</c:formatCode>
                <c:ptCount val="6"/>
                <c:pt idx="0">
                  <c:v>7.22</c:v>
                </c:pt>
                <c:pt idx="1">
                  <c:v>7.2</c:v>
                </c:pt>
                <c:pt idx="2">
                  <c:v>6.75</c:v>
                </c:pt>
                <c:pt idx="3">
                  <c:v>6.46</c:v>
                </c:pt>
                <c:pt idx="4">
                  <c:v>6.56</c:v>
                </c:pt>
                <c:pt idx="5">
                  <c:v>7.02</c:v>
                </c:pt>
              </c:numCache>
            </c:numRef>
          </c:val>
          <c:smooth val="0"/>
          <c:extLst>
            <c:ext xmlns:c16="http://schemas.microsoft.com/office/drawing/2014/chart" uri="{C3380CC4-5D6E-409C-BE32-E72D297353CC}">
              <c16:uniqueId val="{00000000-0E1D-4964-BDCD-4C27AEAA9650}"/>
            </c:ext>
          </c:extLst>
        </c:ser>
        <c:ser>
          <c:idx val="1"/>
          <c:order val="1"/>
          <c:tx>
            <c:strRef>
              <c:f>'Tables and Graphs'!$I$52</c:f>
              <c:strCache>
                <c:ptCount val="1"/>
                <c:pt idx="0">
                  <c:v>New Hampshire</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Graphs'!$J$50:$O$50</c:f>
              <c:strCache>
                <c:ptCount val="6"/>
                <c:pt idx="0">
                  <c:v>2013-2014</c:v>
                </c:pt>
                <c:pt idx="1">
                  <c:v>2014-2015</c:v>
                </c:pt>
                <c:pt idx="2">
                  <c:v>2015-2016</c:v>
                </c:pt>
                <c:pt idx="3">
                  <c:v>2016-2017</c:v>
                </c:pt>
                <c:pt idx="4">
                  <c:v>2017-2018</c:v>
                </c:pt>
                <c:pt idx="5">
                  <c:v>2018-2019</c:v>
                </c:pt>
              </c:strCache>
            </c:strRef>
          </c:cat>
          <c:val>
            <c:numRef>
              <c:f>'Tables and Graphs'!$J$52:$O$52</c:f>
              <c:numCache>
                <c:formatCode>0.0</c:formatCode>
                <c:ptCount val="6"/>
                <c:pt idx="0">
                  <c:v>9.83</c:v>
                </c:pt>
                <c:pt idx="1">
                  <c:v>9.44</c:v>
                </c:pt>
                <c:pt idx="2">
                  <c:v>8.06</c:v>
                </c:pt>
                <c:pt idx="3">
                  <c:v>8.64</c:v>
                </c:pt>
                <c:pt idx="4">
                  <c:v>8.84</c:v>
                </c:pt>
                <c:pt idx="5">
                  <c:v>8.18</c:v>
                </c:pt>
              </c:numCache>
            </c:numRef>
          </c:val>
          <c:smooth val="0"/>
          <c:extLst>
            <c:ext xmlns:c16="http://schemas.microsoft.com/office/drawing/2014/chart" uri="{C3380CC4-5D6E-409C-BE32-E72D297353CC}">
              <c16:uniqueId val="{00000001-0E1D-4964-BDCD-4C27AEAA9650}"/>
            </c:ext>
          </c:extLst>
        </c:ser>
        <c:dLbls>
          <c:showLegendKey val="0"/>
          <c:showVal val="0"/>
          <c:showCatName val="0"/>
          <c:showSerName val="0"/>
          <c:showPercent val="0"/>
          <c:showBubbleSize val="0"/>
        </c:dLbls>
        <c:marker val="1"/>
        <c:smooth val="0"/>
        <c:axId val="511553096"/>
        <c:axId val="511551784"/>
      </c:lineChart>
      <c:catAx>
        <c:axId val="511553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511551784"/>
        <c:crosses val="autoZero"/>
        <c:auto val="1"/>
        <c:lblAlgn val="ctr"/>
        <c:lblOffset val="100"/>
        <c:noMultiLvlLbl val="0"/>
      </c:catAx>
      <c:valAx>
        <c:axId val="511551784"/>
        <c:scaling>
          <c:orientation val="minMax"/>
          <c:max val="50"/>
        </c:scaling>
        <c:delete val="1"/>
        <c:axPos val="l"/>
        <c:numFmt formatCode="0&quot;%&quot;\ " sourceLinked="0"/>
        <c:majorTickMark val="none"/>
        <c:minorTickMark val="none"/>
        <c:tickLblPos val="nextTo"/>
        <c:crossAx val="511553096"/>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j-lt"/>
        </a:defRPr>
      </a:pPr>
      <a:endParaRPr lang="en-US"/>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171624713958809E-2"/>
          <c:y val="8.0409356725146194E-2"/>
          <c:w val="0.7986270022883295"/>
          <c:h val="0.75727310401989223"/>
        </c:manualLayout>
      </c:layout>
      <c:lineChart>
        <c:grouping val="standard"/>
        <c:varyColors val="0"/>
        <c:ser>
          <c:idx val="0"/>
          <c:order val="0"/>
          <c:tx>
            <c:strRef>
              <c:f>'Tables and Graphs'!$Y$51</c:f>
              <c:strCache>
                <c:ptCount val="1"/>
                <c:pt idx="0">
                  <c:v>Total U.S.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Graphs'!$Z$50:$AE$50</c:f>
              <c:strCache>
                <c:ptCount val="6"/>
                <c:pt idx="0">
                  <c:v>2013-2014</c:v>
                </c:pt>
                <c:pt idx="1">
                  <c:v>2014-2015</c:v>
                </c:pt>
                <c:pt idx="2">
                  <c:v>2015-2016</c:v>
                </c:pt>
                <c:pt idx="3">
                  <c:v>2016-2017</c:v>
                </c:pt>
                <c:pt idx="4">
                  <c:v>2017-2018</c:v>
                </c:pt>
                <c:pt idx="5">
                  <c:v>2018-2019</c:v>
                </c:pt>
              </c:strCache>
            </c:strRef>
          </c:cat>
          <c:val>
            <c:numRef>
              <c:f>'Tables and Graphs'!$Z$51:$AE$51</c:f>
              <c:numCache>
                <c:formatCode>0.0</c:formatCode>
                <c:ptCount val="6"/>
                <c:pt idx="0">
                  <c:v>19.32</c:v>
                </c:pt>
                <c:pt idx="1">
                  <c:v>19.7</c:v>
                </c:pt>
                <c:pt idx="2">
                  <c:v>20.3</c:v>
                </c:pt>
                <c:pt idx="3">
                  <c:v>21.45</c:v>
                </c:pt>
                <c:pt idx="4">
                  <c:v>22.12</c:v>
                </c:pt>
                <c:pt idx="5">
                  <c:v>22.54</c:v>
                </c:pt>
              </c:numCache>
            </c:numRef>
          </c:val>
          <c:smooth val="0"/>
          <c:extLst>
            <c:ext xmlns:c16="http://schemas.microsoft.com/office/drawing/2014/chart" uri="{C3380CC4-5D6E-409C-BE32-E72D297353CC}">
              <c16:uniqueId val="{00000000-80D3-41F6-B8C7-583A334F0C17}"/>
            </c:ext>
          </c:extLst>
        </c:ser>
        <c:ser>
          <c:idx val="1"/>
          <c:order val="1"/>
          <c:tx>
            <c:strRef>
              <c:f>'Tables and Graphs'!$Y$52</c:f>
              <c:strCache>
                <c:ptCount val="1"/>
                <c:pt idx="0">
                  <c:v>New Hampshire</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Graphs'!$Z$50:$AE$50</c:f>
              <c:strCache>
                <c:ptCount val="6"/>
                <c:pt idx="0">
                  <c:v>2013-2014</c:v>
                </c:pt>
                <c:pt idx="1">
                  <c:v>2014-2015</c:v>
                </c:pt>
                <c:pt idx="2">
                  <c:v>2015-2016</c:v>
                </c:pt>
                <c:pt idx="3">
                  <c:v>2016-2017</c:v>
                </c:pt>
                <c:pt idx="4">
                  <c:v>2017-2018</c:v>
                </c:pt>
                <c:pt idx="5">
                  <c:v>2018-2019</c:v>
                </c:pt>
              </c:strCache>
            </c:strRef>
          </c:cat>
          <c:val>
            <c:numRef>
              <c:f>'Tables and Graphs'!$Z$52:$AE$52</c:f>
              <c:numCache>
                <c:formatCode>0.0</c:formatCode>
                <c:ptCount val="6"/>
                <c:pt idx="0">
                  <c:v>30.09</c:v>
                </c:pt>
                <c:pt idx="1">
                  <c:v>29.12</c:v>
                </c:pt>
                <c:pt idx="2">
                  <c:v>28.3</c:v>
                </c:pt>
                <c:pt idx="3">
                  <c:v>29.93</c:v>
                </c:pt>
                <c:pt idx="4">
                  <c:v>29.95</c:v>
                </c:pt>
                <c:pt idx="5">
                  <c:v>30.16</c:v>
                </c:pt>
              </c:numCache>
            </c:numRef>
          </c:val>
          <c:smooth val="0"/>
          <c:extLst>
            <c:ext xmlns:c16="http://schemas.microsoft.com/office/drawing/2014/chart" uri="{C3380CC4-5D6E-409C-BE32-E72D297353CC}">
              <c16:uniqueId val="{00000001-80D3-41F6-B8C7-583A334F0C17}"/>
            </c:ext>
          </c:extLst>
        </c:ser>
        <c:dLbls>
          <c:showLegendKey val="0"/>
          <c:showVal val="0"/>
          <c:showCatName val="0"/>
          <c:showSerName val="0"/>
          <c:showPercent val="0"/>
          <c:showBubbleSize val="0"/>
        </c:dLbls>
        <c:marker val="1"/>
        <c:smooth val="0"/>
        <c:axId val="535802864"/>
        <c:axId val="535803192"/>
      </c:lineChart>
      <c:catAx>
        <c:axId val="53580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35803192"/>
        <c:crosses val="autoZero"/>
        <c:auto val="1"/>
        <c:lblAlgn val="ctr"/>
        <c:lblOffset val="100"/>
        <c:noMultiLvlLbl val="0"/>
      </c:catAx>
      <c:valAx>
        <c:axId val="535803192"/>
        <c:scaling>
          <c:orientation val="minMax"/>
          <c:max val="50"/>
        </c:scaling>
        <c:delete val="1"/>
        <c:axPos val="l"/>
        <c:numFmt formatCode="0&quot;%&quot;\ " sourceLinked="0"/>
        <c:majorTickMark val="none"/>
        <c:minorTickMark val="none"/>
        <c:tickLblPos val="nextTo"/>
        <c:crossAx val="535802864"/>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'Tables and Graphs'!$G$250</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Graphs'!$F$251:$F$252</c:f>
              <c:strCache>
                <c:ptCount val="2"/>
                <c:pt idx="0">
                  <c:v>Male</c:v>
                </c:pt>
                <c:pt idx="1">
                  <c:v>Female</c:v>
                </c:pt>
              </c:strCache>
            </c:strRef>
          </c:cat>
          <c:val>
            <c:numRef>
              <c:f>'Tables and Graphs'!$G$251:$G$252</c:f>
              <c:numCache>
                <c:formatCode>0.0</c:formatCode>
                <c:ptCount val="2"/>
                <c:pt idx="0">
                  <c:v>23.9</c:v>
                </c:pt>
                <c:pt idx="1">
                  <c:v>20</c:v>
                </c:pt>
              </c:numCache>
            </c:numRef>
          </c:val>
          <c:extLst>
            <c:ext xmlns:c16="http://schemas.microsoft.com/office/drawing/2014/chart" uri="{C3380CC4-5D6E-409C-BE32-E72D297353CC}">
              <c16:uniqueId val="{00000000-9105-402E-B707-839EEE2E127A}"/>
            </c:ext>
          </c:extLst>
        </c:ser>
        <c:ser>
          <c:idx val="1"/>
          <c:order val="1"/>
          <c:tx>
            <c:strRef>
              <c:f>'Tables and Graphs'!$H$250</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Graphs'!$F$251:$F$252</c:f>
              <c:strCache>
                <c:ptCount val="2"/>
                <c:pt idx="0">
                  <c:v>Male</c:v>
                </c:pt>
                <c:pt idx="1">
                  <c:v>Female</c:v>
                </c:pt>
              </c:strCache>
            </c:strRef>
          </c:cat>
          <c:val>
            <c:numRef>
              <c:f>'Tables and Graphs'!$H$251:$H$252</c:f>
              <c:numCache>
                <c:formatCode>0.0</c:formatCode>
                <c:ptCount val="2"/>
                <c:pt idx="0">
                  <c:v>24</c:v>
                </c:pt>
                <c:pt idx="1">
                  <c:v>21.9</c:v>
                </c:pt>
              </c:numCache>
            </c:numRef>
          </c:val>
          <c:extLst>
            <c:ext xmlns:c16="http://schemas.microsoft.com/office/drawing/2014/chart" uri="{C3380CC4-5D6E-409C-BE32-E72D297353CC}">
              <c16:uniqueId val="{00000001-9105-402E-B707-839EEE2E127A}"/>
            </c:ext>
          </c:extLst>
        </c:ser>
        <c:ser>
          <c:idx val="2"/>
          <c:order val="2"/>
          <c:tx>
            <c:strRef>
              <c:f>'Tables and Graphs'!$I$250</c:f>
              <c:strCache>
                <c:ptCount val="1"/>
                <c:pt idx="0">
                  <c:v>2019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Graphs'!$F$251:$F$252</c:f>
              <c:strCache>
                <c:ptCount val="2"/>
                <c:pt idx="0">
                  <c:v>Male</c:v>
                </c:pt>
                <c:pt idx="1">
                  <c:v>Female</c:v>
                </c:pt>
              </c:strCache>
            </c:strRef>
          </c:cat>
          <c:val>
            <c:numRef>
              <c:f>'Tables and Graphs'!$I$251:$I$252</c:f>
              <c:numCache>
                <c:formatCode>0.0</c:formatCode>
                <c:ptCount val="2"/>
                <c:pt idx="0">
                  <c:v>26.299999999999997</c:v>
                </c:pt>
                <c:pt idx="1">
                  <c:v>25.5</c:v>
                </c:pt>
              </c:numCache>
            </c:numRef>
          </c:val>
          <c:extLst>
            <c:ext xmlns:c16="http://schemas.microsoft.com/office/drawing/2014/chart" uri="{C3380CC4-5D6E-409C-BE32-E72D297353CC}">
              <c16:uniqueId val="{00000002-9105-402E-B707-839EEE2E127A}"/>
            </c:ext>
          </c:extLst>
        </c:ser>
        <c:dLbls>
          <c:showLegendKey val="0"/>
          <c:showVal val="0"/>
          <c:showCatName val="0"/>
          <c:showSerName val="0"/>
          <c:showPercent val="0"/>
          <c:showBubbleSize val="0"/>
        </c:dLbls>
        <c:gapWidth val="189"/>
        <c:overlap val="-19"/>
        <c:axId val="474496856"/>
        <c:axId val="474491608"/>
      </c:barChart>
      <c:catAx>
        <c:axId val="474496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74491608"/>
        <c:crosses val="autoZero"/>
        <c:auto val="1"/>
        <c:lblAlgn val="ctr"/>
        <c:lblOffset val="100"/>
        <c:noMultiLvlLbl val="0"/>
      </c:catAx>
      <c:valAx>
        <c:axId val="474491608"/>
        <c:scaling>
          <c:orientation val="minMax"/>
          <c:min val="0"/>
        </c:scaling>
        <c:delete val="1"/>
        <c:axPos val="l"/>
        <c:numFmt formatCode="0&quot;%&quot;" sourceLinked="0"/>
        <c:majorTickMark val="none"/>
        <c:minorTickMark val="none"/>
        <c:tickLblPos val="nextTo"/>
        <c:crossAx val="474496856"/>
        <c:crosses val="autoZero"/>
        <c:crossBetween val="between"/>
      </c:valAx>
      <c:spPr>
        <a:noFill/>
        <a:ln>
          <a:noFill/>
        </a:ln>
        <a:effectLst/>
      </c:spPr>
    </c:plotArea>
    <c:legend>
      <c:legendPos val="t"/>
      <c:layout>
        <c:manualLayout>
          <c:xMode val="edge"/>
          <c:yMode val="edge"/>
          <c:x val="8.1353650238164668E-2"/>
          <c:y val="4.3859649122807015E-2"/>
          <c:w val="0.34655171575775251"/>
          <c:h val="0.134102891743795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474563767483174"/>
          <c:y val="0.14308557584148135"/>
          <c:w val="0.35512312872936774"/>
          <c:h val="0.8163929508811398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EED-4B21-AB5F-B11855ED9D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EED-4B21-AB5F-B11855ED9D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EED-4B21-AB5F-B11855ED9D43}"/>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Sheet1!$B$5:$B$7</c:f>
              <c:strCache>
                <c:ptCount val="3"/>
                <c:pt idx="0">
                  <c:v>Intake</c:v>
                </c:pt>
                <c:pt idx="1">
                  <c:v>6-month followup</c:v>
                </c:pt>
                <c:pt idx="2">
                  <c:v>Discharge</c:v>
                </c:pt>
              </c:strCache>
            </c:strRef>
          </c:cat>
          <c:val>
            <c:numRef>
              <c:f>Sheet1!$C$5:$C$7</c:f>
              <c:numCache>
                <c:formatCode>General</c:formatCode>
                <c:ptCount val="3"/>
                <c:pt idx="0">
                  <c:v>44</c:v>
                </c:pt>
                <c:pt idx="1">
                  <c:v>9</c:v>
                </c:pt>
                <c:pt idx="2">
                  <c:v>9</c:v>
                </c:pt>
              </c:numCache>
            </c:numRef>
          </c:val>
          <c:extLst>
            <c:ext xmlns:c16="http://schemas.microsoft.com/office/drawing/2014/chart" uri="{C3380CC4-5D6E-409C-BE32-E72D297353CC}">
              <c16:uniqueId val="{00000006-6EED-4B21-AB5F-B11855ED9D4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mj-lt"/>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947574718275354E-2"/>
          <c:y val="0.16334265782566657"/>
          <c:w val="0.94610485056344928"/>
          <c:h val="0.64886494451351473"/>
        </c:manualLayout>
      </c:layout>
      <c:barChart>
        <c:barDir val="col"/>
        <c:grouping val="clustered"/>
        <c:varyColors val="0"/>
        <c:ser>
          <c:idx val="0"/>
          <c:order val="0"/>
          <c:tx>
            <c:strRef>
              <c:f>'Tables and Graphs'!$L$250</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Graphs'!$K$251:$K$253</c:f>
              <c:strCache>
                <c:ptCount val="3"/>
                <c:pt idx="0">
                  <c:v>15 or younger</c:v>
                </c:pt>
                <c:pt idx="1">
                  <c:v>16 or 17</c:v>
                </c:pt>
                <c:pt idx="2">
                  <c:v>18 or older</c:v>
                </c:pt>
              </c:strCache>
            </c:strRef>
          </c:cat>
          <c:val>
            <c:numRef>
              <c:f>'Tables and Graphs'!$L$251:$L$253</c:f>
              <c:numCache>
                <c:formatCode>General</c:formatCode>
                <c:ptCount val="3"/>
                <c:pt idx="0">
                  <c:v>13.2</c:v>
                </c:pt>
                <c:pt idx="1">
                  <c:v>25.7</c:v>
                </c:pt>
                <c:pt idx="2">
                  <c:v>33.5</c:v>
                </c:pt>
              </c:numCache>
            </c:numRef>
          </c:val>
          <c:extLst>
            <c:ext xmlns:c16="http://schemas.microsoft.com/office/drawing/2014/chart" uri="{C3380CC4-5D6E-409C-BE32-E72D297353CC}">
              <c16:uniqueId val="{00000000-CDED-4936-A131-8B447414A8D8}"/>
            </c:ext>
          </c:extLst>
        </c:ser>
        <c:ser>
          <c:idx val="1"/>
          <c:order val="1"/>
          <c:tx>
            <c:strRef>
              <c:f>'Tables and Graphs'!$M$250</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Graphs'!$K$251:$K$253</c:f>
              <c:strCache>
                <c:ptCount val="3"/>
                <c:pt idx="0">
                  <c:v>15 or younger</c:v>
                </c:pt>
                <c:pt idx="1">
                  <c:v>16 or 17</c:v>
                </c:pt>
                <c:pt idx="2">
                  <c:v>18 or older</c:v>
                </c:pt>
              </c:strCache>
            </c:strRef>
          </c:cat>
          <c:val>
            <c:numRef>
              <c:f>'Tables and Graphs'!$M$251:$M$253</c:f>
              <c:numCache>
                <c:formatCode>General</c:formatCode>
                <c:ptCount val="3"/>
                <c:pt idx="0">
                  <c:v>13.5</c:v>
                </c:pt>
                <c:pt idx="1">
                  <c:v>27.5</c:v>
                </c:pt>
                <c:pt idx="2">
                  <c:v>32.700000000000003</c:v>
                </c:pt>
              </c:numCache>
            </c:numRef>
          </c:val>
          <c:extLst>
            <c:ext xmlns:c16="http://schemas.microsoft.com/office/drawing/2014/chart" uri="{C3380CC4-5D6E-409C-BE32-E72D297353CC}">
              <c16:uniqueId val="{00000001-CDED-4936-A131-8B447414A8D8}"/>
            </c:ext>
          </c:extLst>
        </c:ser>
        <c:ser>
          <c:idx val="2"/>
          <c:order val="2"/>
          <c:tx>
            <c:strRef>
              <c:f>'Tables and Graphs'!$N$250</c:f>
              <c:strCache>
                <c:ptCount val="1"/>
                <c:pt idx="0">
                  <c:v>2019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Graphs'!$K$251:$K$253</c:f>
              <c:strCache>
                <c:ptCount val="3"/>
                <c:pt idx="0">
                  <c:v>15 or younger</c:v>
                </c:pt>
                <c:pt idx="1">
                  <c:v>16 or 17</c:v>
                </c:pt>
                <c:pt idx="2">
                  <c:v>18 or older</c:v>
                </c:pt>
              </c:strCache>
            </c:strRef>
          </c:cat>
          <c:val>
            <c:numRef>
              <c:f>'Tables and Graphs'!$N$251:$N$253</c:f>
              <c:numCache>
                <c:formatCode>0.0</c:formatCode>
                <c:ptCount val="3"/>
                <c:pt idx="0">
                  <c:v>18.5</c:v>
                </c:pt>
                <c:pt idx="1">
                  <c:v>29.5</c:v>
                </c:pt>
                <c:pt idx="2">
                  <c:v>34</c:v>
                </c:pt>
              </c:numCache>
            </c:numRef>
          </c:val>
          <c:extLst>
            <c:ext xmlns:c16="http://schemas.microsoft.com/office/drawing/2014/chart" uri="{C3380CC4-5D6E-409C-BE32-E72D297353CC}">
              <c16:uniqueId val="{00000002-CDED-4936-A131-8B447414A8D8}"/>
            </c:ext>
          </c:extLst>
        </c:ser>
        <c:dLbls>
          <c:showLegendKey val="0"/>
          <c:showVal val="0"/>
          <c:showCatName val="0"/>
          <c:showSerName val="0"/>
          <c:showPercent val="0"/>
          <c:showBubbleSize val="0"/>
        </c:dLbls>
        <c:gapWidth val="190"/>
        <c:overlap val="-19"/>
        <c:axId val="479289672"/>
        <c:axId val="479284752"/>
      </c:barChart>
      <c:catAx>
        <c:axId val="47928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79284752"/>
        <c:crosses val="autoZero"/>
        <c:auto val="1"/>
        <c:lblAlgn val="ctr"/>
        <c:lblOffset val="100"/>
        <c:noMultiLvlLbl val="0"/>
      </c:catAx>
      <c:valAx>
        <c:axId val="479284752"/>
        <c:scaling>
          <c:orientation val="minMax"/>
        </c:scaling>
        <c:delete val="1"/>
        <c:axPos val="l"/>
        <c:numFmt formatCode="0&quot;%&quot;" sourceLinked="0"/>
        <c:majorTickMark val="none"/>
        <c:minorTickMark val="none"/>
        <c:tickLblPos val="nextTo"/>
        <c:crossAx val="479289672"/>
        <c:crosses val="autoZero"/>
        <c:crossBetween val="between"/>
      </c:valAx>
      <c:spPr>
        <a:noFill/>
        <a:ln>
          <a:noFill/>
        </a:ln>
        <a:effectLst/>
      </c:spPr>
    </c:plotArea>
    <c:legend>
      <c:legendPos val="t"/>
      <c:layout>
        <c:manualLayout>
          <c:xMode val="edge"/>
          <c:yMode val="edge"/>
          <c:x val="4.7669237327695659E-2"/>
          <c:y val="4.3859649122807015E-2"/>
          <c:w val="0.30936490912668252"/>
          <c:h val="0.134102891743795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27326895418122E-2"/>
          <c:y val="0.13732387070037297"/>
          <c:w val="0.98356276967331002"/>
          <c:h val="0.59420557627664961"/>
        </c:manualLayout>
      </c:layout>
      <c:barChart>
        <c:barDir val="col"/>
        <c:grouping val="clustered"/>
        <c:varyColors val="0"/>
        <c:ser>
          <c:idx val="0"/>
          <c:order val="0"/>
          <c:tx>
            <c:strRef>
              <c:f>'Tables and Graphs'!$V$250</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Graphs'!$U$251:$U$255</c:f>
              <c:strCache>
                <c:ptCount val="5"/>
                <c:pt idx="0">
                  <c:v>Non-Hispanic Black</c:v>
                </c:pt>
                <c:pt idx="1">
                  <c:v>Hispanic or Latino</c:v>
                </c:pt>
                <c:pt idx="2">
                  <c:v>Non-Hispanic White</c:v>
                </c:pt>
                <c:pt idx="3">
                  <c:v>Non-Hispanic all other races</c:v>
                </c:pt>
                <c:pt idx="4">
                  <c:v>Non-Hispanic multiple races</c:v>
                </c:pt>
              </c:strCache>
            </c:strRef>
          </c:cat>
          <c:val>
            <c:numRef>
              <c:f>'Tables and Graphs'!$V$251:$V$255</c:f>
              <c:numCache>
                <c:formatCode>General</c:formatCode>
                <c:ptCount val="5"/>
                <c:pt idx="0">
                  <c:v>32.1</c:v>
                </c:pt>
                <c:pt idx="1">
                  <c:v>31.5</c:v>
                </c:pt>
                <c:pt idx="2">
                  <c:v>21.4</c:v>
                </c:pt>
                <c:pt idx="3">
                  <c:v>18.5</c:v>
                </c:pt>
                <c:pt idx="4">
                  <c:v>27.2</c:v>
                </c:pt>
              </c:numCache>
            </c:numRef>
          </c:val>
          <c:extLst>
            <c:ext xmlns:c16="http://schemas.microsoft.com/office/drawing/2014/chart" uri="{C3380CC4-5D6E-409C-BE32-E72D297353CC}">
              <c16:uniqueId val="{00000000-CD70-48C6-8985-1B6859435253}"/>
            </c:ext>
          </c:extLst>
        </c:ser>
        <c:ser>
          <c:idx val="1"/>
          <c:order val="1"/>
          <c:tx>
            <c:strRef>
              <c:f>'Tables and Graphs'!$W$250</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Graphs'!$U$251:$U$255</c:f>
              <c:strCache>
                <c:ptCount val="5"/>
                <c:pt idx="0">
                  <c:v>Non-Hispanic Black</c:v>
                </c:pt>
                <c:pt idx="1">
                  <c:v>Hispanic or Latino</c:v>
                </c:pt>
                <c:pt idx="2">
                  <c:v>Non-Hispanic White</c:v>
                </c:pt>
                <c:pt idx="3">
                  <c:v>Non-Hispanic all other races</c:v>
                </c:pt>
                <c:pt idx="4">
                  <c:v>Non-Hispanic multiple races</c:v>
                </c:pt>
              </c:strCache>
            </c:strRef>
          </c:cat>
          <c:val>
            <c:numRef>
              <c:f>'Tables and Graphs'!$W$251:$W$255</c:f>
              <c:numCache>
                <c:formatCode>General</c:formatCode>
                <c:ptCount val="5"/>
                <c:pt idx="0">
                  <c:v>27.1</c:v>
                </c:pt>
                <c:pt idx="1">
                  <c:v>35.299999999999997</c:v>
                </c:pt>
                <c:pt idx="2">
                  <c:v>22.4</c:v>
                </c:pt>
                <c:pt idx="3">
                  <c:v>16.5</c:v>
                </c:pt>
                <c:pt idx="4">
                  <c:v>28.9</c:v>
                </c:pt>
              </c:numCache>
            </c:numRef>
          </c:val>
          <c:extLst>
            <c:ext xmlns:c16="http://schemas.microsoft.com/office/drawing/2014/chart" uri="{C3380CC4-5D6E-409C-BE32-E72D297353CC}">
              <c16:uniqueId val="{00000001-CD70-48C6-8985-1B6859435253}"/>
            </c:ext>
          </c:extLst>
        </c:ser>
        <c:ser>
          <c:idx val="2"/>
          <c:order val="2"/>
          <c:tx>
            <c:strRef>
              <c:f>'Tables and Graphs'!$X$250</c:f>
              <c:strCache>
                <c:ptCount val="1"/>
                <c:pt idx="0">
                  <c:v>2019</c:v>
                </c:pt>
              </c:strCache>
            </c:strRef>
          </c:tx>
          <c:spPr>
            <a:solidFill>
              <a:schemeClr val="accent3"/>
            </a:solidFill>
            <a:ln>
              <a:noFill/>
            </a:ln>
            <a:effectLst/>
          </c:spPr>
          <c:invertIfNegative val="0"/>
          <c:dPt>
            <c:idx val="0"/>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0-54E7-446F-9349-4433B8ACCF92}"/>
              </c:ext>
            </c:extLst>
          </c:dPt>
          <c:dPt>
            <c:idx val="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2-54E7-446F-9349-4433B8ACCF92}"/>
              </c:ext>
            </c:extLst>
          </c:dPt>
          <c:dPt>
            <c:idx val="2"/>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54E7-446F-9349-4433B8ACCF92}"/>
              </c:ext>
            </c:extLst>
          </c:dPt>
          <c:dPt>
            <c:idx val="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4-54E7-446F-9349-4433B8ACCF92}"/>
              </c:ext>
            </c:extLst>
          </c:dPt>
          <c:dPt>
            <c:idx val="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54E7-446F-9349-4433B8ACCF92}"/>
              </c:ext>
            </c:extLst>
          </c:dPt>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Graphs'!$U$251:$U$255</c:f>
              <c:strCache>
                <c:ptCount val="5"/>
                <c:pt idx="0">
                  <c:v>Non-Hispanic Black</c:v>
                </c:pt>
                <c:pt idx="1">
                  <c:v>Hispanic or Latino</c:v>
                </c:pt>
                <c:pt idx="2">
                  <c:v>Non-Hispanic White</c:v>
                </c:pt>
                <c:pt idx="3">
                  <c:v>Non-Hispanic all other races</c:v>
                </c:pt>
                <c:pt idx="4">
                  <c:v>Non-Hispanic multiple races</c:v>
                </c:pt>
              </c:strCache>
            </c:strRef>
          </c:cat>
          <c:val>
            <c:numRef>
              <c:f>'Tables and Graphs'!$X$251:$X$255</c:f>
              <c:numCache>
                <c:formatCode>0.0</c:formatCode>
                <c:ptCount val="5"/>
                <c:pt idx="0">
                  <c:v>25.5</c:v>
                </c:pt>
                <c:pt idx="1">
                  <c:v>33.200000000000003</c:v>
                </c:pt>
                <c:pt idx="2">
                  <c:v>25.900000000000006</c:v>
                </c:pt>
                <c:pt idx="3">
                  <c:v>19.5</c:v>
                </c:pt>
                <c:pt idx="4">
                  <c:v>29.599999999999994</c:v>
                </c:pt>
              </c:numCache>
            </c:numRef>
          </c:val>
          <c:extLst>
            <c:ext xmlns:c16="http://schemas.microsoft.com/office/drawing/2014/chart" uri="{C3380CC4-5D6E-409C-BE32-E72D297353CC}">
              <c16:uniqueId val="{00000002-CD70-48C6-8985-1B6859435253}"/>
            </c:ext>
          </c:extLst>
        </c:ser>
        <c:dLbls>
          <c:showLegendKey val="0"/>
          <c:showVal val="0"/>
          <c:showCatName val="0"/>
          <c:showSerName val="0"/>
          <c:showPercent val="0"/>
          <c:showBubbleSize val="0"/>
        </c:dLbls>
        <c:gapWidth val="132"/>
        <c:overlap val="-9"/>
        <c:axId val="479264744"/>
        <c:axId val="479262776"/>
      </c:barChart>
      <c:catAx>
        <c:axId val="479264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en-US"/>
          </a:p>
        </c:txPr>
        <c:crossAx val="479262776"/>
        <c:crosses val="autoZero"/>
        <c:auto val="1"/>
        <c:lblAlgn val="ctr"/>
        <c:lblOffset val="100"/>
        <c:noMultiLvlLbl val="0"/>
      </c:catAx>
      <c:valAx>
        <c:axId val="479262776"/>
        <c:scaling>
          <c:orientation val="minMax"/>
        </c:scaling>
        <c:delete val="1"/>
        <c:axPos val="l"/>
        <c:numFmt formatCode="0&quot;%&quot;" sourceLinked="0"/>
        <c:majorTickMark val="none"/>
        <c:minorTickMark val="none"/>
        <c:tickLblPos val="nextTo"/>
        <c:crossAx val="479264744"/>
        <c:crosses val="autoZero"/>
        <c:crossBetween val="between"/>
      </c:valAx>
      <c:spPr>
        <a:noFill/>
        <a:ln>
          <a:noFill/>
        </a:ln>
        <a:effectLst/>
      </c:spPr>
    </c:plotArea>
    <c:legend>
      <c:legendPos val="t"/>
      <c:layout>
        <c:manualLayout>
          <c:xMode val="edge"/>
          <c:yMode val="edge"/>
          <c:x val="2.208267473859786E-2"/>
          <c:y val="2.9239766081871343E-2"/>
          <c:w val="0.2202685934034288"/>
          <c:h val="0.1300139291799051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mj-lt"/>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07339360357732E-2"/>
          <c:y val="5.0925925925925923E-2"/>
          <c:w val="0.9899266063964226"/>
          <c:h val="0.73577136191309422"/>
        </c:manualLayout>
      </c:layout>
      <c:barChart>
        <c:barDir val="col"/>
        <c:grouping val="clustered"/>
        <c:varyColors val="0"/>
        <c:ser>
          <c:idx val="0"/>
          <c:order val="0"/>
          <c:tx>
            <c:strRef>
              <c:f>'Tables and Graphs'!$G$186</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Graphs'!$F$187:$F$188</c:f>
              <c:strCache>
                <c:ptCount val="2"/>
                <c:pt idx="0">
                  <c:v>Male</c:v>
                </c:pt>
                <c:pt idx="1">
                  <c:v>Female</c:v>
                </c:pt>
              </c:strCache>
            </c:strRef>
          </c:cat>
          <c:val>
            <c:numRef>
              <c:f>'Tables and Graphs'!$G$187:$G$188</c:f>
              <c:numCache>
                <c:formatCode>General</c:formatCode>
                <c:ptCount val="2"/>
                <c:pt idx="0">
                  <c:v>7.4</c:v>
                </c:pt>
                <c:pt idx="1">
                  <c:v>5.9</c:v>
                </c:pt>
              </c:numCache>
            </c:numRef>
          </c:val>
          <c:extLst>
            <c:ext xmlns:c16="http://schemas.microsoft.com/office/drawing/2014/chart" uri="{C3380CC4-5D6E-409C-BE32-E72D297353CC}">
              <c16:uniqueId val="{00000000-0746-4CF7-9943-EBEA5D044947}"/>
            </c:ext>
          </c:extLst>
        </c:ser>
        <c:ser>
          <c:idx val="1"/>
          <c:order val="1"/>
          <c:tx>
            <c:strRef>
              <c:f>'Tables and Graphs'!$H$186</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Graphs'!$F$187:$F$188</c:f>
              <c:strCache>
                <c:ptCount val="2"/>
                <c:pt idx="0">
                  <c:v>Male</c:v>
                </c:pt>
                <c:pt idx="1">
                  <c:v>Female</c:v>
                </c:pt>
              </c:strCache>
            </c:strRef>
          </c:cat>
          <c:val>
            <c:numRef>
              <c:f>'Tables and Graphs'!$H$187:$H$188</c:f>
              <c:numCache>
                <c:formatCode>General</c:formatCode>
                <c:ptCount val="2"/>
                <c:pt idx="0">
                  <c:v>5.7</c:v>
                </c:pt>
                <c:pt idx="1">
                  <c:v>4.4000000000000004</c:v>
                </c:pt>
              </c:numCache>
            </c:numRef>
          </c:val>
          <c:extLst>
            <c:ext xmlns:c16="http://schemas.microsoft.com/office/drawing/2014/chart" uri="{C3380CC4-5D6E-409C-BE32-E72D297353CC}">
              <c16:uniqueId val="{00000001-0746-4CF7-9943-EBEA5D044947}"/>
            </c:ext>
          </c:extLst>
        </c:ser>
        <c:ser>
          <c:idx val="2"/>
          <c:order val="2"/>
          <c:tx>
            <c:strRef>
              <c:f>'Tables and Graphs'!$I$186</c:f>
              <c:strCache>
                <c:ptCount val="1"/>
                <c:pt idx="0">
                  <c:v>2019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Graphs'!$F$187:$F$188</c:f>
              <c:strCache>
                <c:ptCount val="2"/>
                <c:pt idx="0">
                  <c:v>Male</c:v>
                </c:pt>
                <c:pt idx="1">
                  <c:v>Female</c:v>
                </c:pt>
              </c:strCache>
            </c:strRef>
          </c:cat>
          <c:val>
            <c:numRef>
              <c:f>'Tables and Graphs'!$I$187:$I$188</c:f>
              <c:numCache>
                <c:formatCode>0.0</c:formatCode>
                <c:ptCount val="2"/>
                <c:pt idx="0">
                  <c:v>5</c:v>
                </c:pt>
                <c:pt idx="1">
                  <c:v>3.4000000000000057</c:v>
                </c:pt>
              </c:numCache>
            </c:numRef>
          </c:val>
          <c:extLst>
            <c:ext xmlns:c16="http://schemas.microsoft.com/office/drawing/2014/chart" uri="{C3380CC4-5D6E-409C-BE32-E72D297353CC}">
              <c16:uniqueId val="{00000002-0746-4CF7-9943-EBEA5D044947}"/>
            </c:ext>
          </c:extLst>
        </c:ser>
        <c:dLbls>
          <c:showLegendKey val="0"/>
          <c:showVal val="0"/>
          <c:showCatName val="0"/>
          <c:showSerName val="0"/>
          <c:showPercent val="0"/>
          <c:showBubbleSize val="0"/>
        </c:dLbls>
        <c:gapWidth val="190"/>
        <c:overlap val="-19"/>
        <c:axId val="410411552"/>
        <c:axId val="410413520"/>
      </c:barChart>
      <c:catAx>
        <c:axId val="41041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en-US"/>
          </a:p>
        </c:txPr>
        <c:crossAx val="410413520"/>
        <c:crosses val="autoZero"/>
        <c:auto val="1"/>
        <c:lblAlgn val="ctr"/>
        <c:lblOffset val="100"/>
        <c:noMultiLvlLbl val="0"/>
      </c:catAx>
      <c:valAx>
        <c:axId val="410413520"/>
        <c:scaling>
          <c:orientation val="minMax"/>
          <c:max val="10"/>
        </c:scaling>
        <c:delete val="1"/>
        <c:axPos val="l"/>
        <c:numFmt formatCode="0&quot;%&quot;" sourceLinked="0"/>
        <c:majorTickMark val="none"/>
        <c:minorTickMark val="none"/>
        <c:tickLblPos val="nextTo"/>
        <c:crossAx val="410411552"/>
        <c:crosses val="autoZero"/>
        <c:crossBetween val="between"/>
      </c:valAx>
      <c:spPr>
        <a:noFill/>
        <a:ln>
          <a:noFill/>
        </a:ln>
        <a:effectLst/>
      </c:spPr>
    </c:plotArea>
    <c:legend>
      <c:legendPos val="t"/>
      <c:layout>
        <c:manualLayout>
          <c:xMode val="edge"/>
          <c:yMode val="edge"/>
          <c:x val="8.1474190726159204E-2"/>
          <c:y val="5.1169590643274851E-2"/>
          <c:w val="0.33705161854768156"/>
          <c:h val="0.1300139291799051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mj-lt"/>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947574718275354E-2"/>
          <c:y val="0.16656363678224431"/>
          <c:w val="0.94610485056344928"/>
          <c:h val="0.65199095178892108"/>
        </c:manualLayout>
      </c:layout>
      <c:barChart>
        <c:barDir val="col"/>
        <c:grouping val="clustered"/>
        <c:varyColors val="0"/>
        <c:ser>
          <c:idx val="0"/>
          <c:order val="0"/>
          <c:tx>
            <c:strRef>
              <c:f>'Tables and Graphs'!$L$186</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Graphs'!$K$187:$K$189</c:f>
              <c:strCache>
                <c:ptCount val="3"/>
                <c:pt idx="0">
                  <c:v>15 or younger</c:v>
                </c:pt>
                <c:pt idx="1">
                  <c:v>16 or 17</c:v>
                </c:pt>
                <c:pt idx="2">
                  <c:v>18 or older</c:v>
                </c:pt>
              </c:strCache>
            </c:strRef>
          </c:cat>
          <c:val>
            <c:numRef>
              <c:f>'Tables and Graphs'!$L$187:$L$189</c:f>
              <c:numCache>
                <c:formatCode>General</c:formatCode>
                <c:ptCount val="3"/>
                <c:pt idx="0">
                  <c:v>5.0999999999999996</c:v>
                </c:pt>
                <c:pt idx="1">
                  <c:v>7.2</c:v>
                </c:pt>
                <c:pt idx="2">
                  <c:v>9.5</c:v>
                </c:pt>
              </c:numCache>
            </c:numRef>
          </c:val>
          <c:extLst>
            <c:ext xmlns:c16="http://schemas.microsoft.com/office/drawing/2014/chart" uri="{C3380CC4-5D6E-409C-BE32-E72D297353CC}">
              <c16:uniqueId val="{00000000-8F47-4ACD-BF10-6CB4F7BA9BB5}"/>
            </c:ext>
          </c:extLst>
        </c:ser>
        <c:ser>
          <c:idx val="1"/>
          <c:order val="1"/>
          <c:tx>
            <c:strRef>
              <c:f>'Tables and Graphs'!$M$186</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Graphs'!$K$187:$K$189</c:f>
              <c:strCache>
                <c:ptCount val="3"/>
                <c:pt idx="0">
                  <c:v>15 or younger</c:v>
                </c:pt>
                <c:pt idx="1">
                  <c:v>16 or 17</c:v>
                </c:pt>
                <c:pt idx="2">
                  <c:v>18 or older</c:v>
                </c:pt>
              </c:strCache>
            </c:strRef>
          </c:cat>
          <c:val>
            <c:numRef>
              <c:f>'Tables and Graphs'!$M$187:$M$189</c:f>
              <c:numCache>
                <c:formatCode>General</c:formatCode>
                <c:ptCount val="3"/>
                <c:pt idx="0">
                  <c:v>3.6</c:v>
                </c:pt>
                <c:pt idx="1">
                  <c:v>5.3</c:v>
                </c:pt>
                <c:pt idx="2">
                  <c:v>8.9</c:v>
                </c:pt>
              </c:numCache>
            </c:numRef>
          </c:val>
          <c:extLst>
            <c:ext xmlns:c16="http://schemas.microsoft.com/office/drawing/2014/chart" uri="{C3380CC4-5D6E-409C-BE32-E72D297353CC}">
              <c16:uniqueId val="{00000001-8F47-4ACD-BF10-6CB4F7BA9BB5}"/>
            </c:ext>
          </c:extLst>
        </c:ser>
        <c:ser>
          <c:idx val="2"/>
          <c:order val="2"/>
          <c:tx>
            <c:strRef>
              <c:f>'Tables and Graphs'!$N$186</c:f>
              <c:strCache>
                <c:ptCount val="1"/>
                <c:pt idx="0">
                  <c:v>2019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Graphs'!$K$187:$K$189</c:f>
              <c:strCache>
                <c:ptCount val="3"/>
                <c:pt idx="0">
                  <c:v>15 or younger</c:v>
                </c:pt>
                <c:pt idx="1">
                  <c:v>16 or 17</c:v>
                </c:pt>
                <c:pt idx="2">
                  <c:v>18 or older</c:v>
                </c:pt>
              </c:strCache>
            </c:strRef>
          </c:cat>
          <c:val>
            <c:numRef>
              <c:f>'Tables and Graphs'!$N$187:$N$189</c:f>
              <c:numCache>
                <c:formatCode>0.0</c:formatCode>
                <c:ptCount val="3"/>
                <c:pt idx="0">
                  <c:v>4</c:v>
                </c:pt>
                <c:pt idx="1">
                  <c:v>4.4000000000000057</c:v>
                </c:pt>
                <c:pt idx="2">
                  <c:v>4.2999999999999972</c:v>
                </c:pt>
              </c:numCache>
            </c:numRef>
          </c:val>
          <c:extLst>
            <c:ext xmlns:c16="http://schemas.microsoft.com/office/drawing/2014/chart" uri="{C3380CC4-5D6E-409C-BE32-E72D297353CC}">
              <c16:uniqueId val="{00000002-8F47-4ACD-BF10-6CB4F7BA9BB5}"/>
            </c:ext>
          </c:extLst>
        </c:ser>
        <c:dLbls>
          <c:showLegendKey val="0"/>
          <c:showVal val="0"/>
          <c:showCatName val="0"/>
          <c:showSerName val="0"/>
          <c:showPercent val="0"/>
          <c:showBubbleSize val="0"/>
        </c:dLbls>
        <c:gapWidth val="219"/>
        <c:overlap val="-27"/>
        <c:axId val="404114304"/>
        <c:axId val="404111352"/>
      </c:barChart>
      <c:catAx>
        <c:axId val="40411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en-US"/>
          </a:p>
        </c:txPr>
        <c:crossAx val="404111352"/>
        <c:crosses val="autoZero"/>
        <c:auto val="1"/>
        <c:lblAlgn val="ctr"/>
        <c:lblOffset val="100"/>
        <c:noMultiLvlLbl val="0"/>
      </c:catAx>
      <c:valAx>
        <c:axId val="404111352"/>
        <c:scaling>
          <c:orientation val="minMax"/>
        </c:scaling>
        <c:delete val="1"/>
        <c:axPos val="l"/>
        <c:numFmt formatCode="0&quot;%&quot;" sourceLinked="0"/>
        <c:majorTickMark val="none"/>
        <c:minorTickMark val="none"/>
        <c:tickLblPos val="nextTo"/>
        <c:crossAx val="404114304"/>
        <c:crosses val="autoZero"/>
        <c:crossBetween val="between"/>
      </c:valAx>
      <c:spPr>
        <a:noFill/>
        <a:ln>
          <a:noFill/>
        </a:ln>
        <a:effectLst/>
      </c:spPr>
    </c:plotArea>
    <c:legend>
      <c:legendPos val="t"/>
      <c:layout>
        <c:manualLayout>
          <c:xMode val="edge"/>
          <c:yMode val="edge"/>
          <c:x val="4.5315134236343896E-2"/>
          <c:y val="4.3859649122807015E-2"/>
          <c:w val="0.26997727684823325"/>
          <c:h val="0.1300139291799051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mj-lt"/>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364842454394693E-2"/>
          <c:y val="0.13732387070037297"/>
          <c:w val="0.98341625207296846"/>
          <c:h val="0.63075528387898883"/>
        </c:manualLayout>
      </c:layout>
      <c:barChart>
        <c:barDir val="col"/>
        <c:grouping val="clustered"/>
        <c:varyColors val="0"/>
        <c:ser>
          <c:idx val="0"/>
          <c:order val="0"/>
          <c:tx>
            <c:strRef>
              <c:f>'Tables and Graphs'!$V$186</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Graphs'!$U$187:$U$191</c:f>
              <c:strCache>
                <c:ptCount val="5"/>
                <c:pt idx="0">
                  <c:v>Non-Hispanic Black</c:v>
                </c:pt>
                <c:pt idx="1">
                  <c:v>Hispanic or Latino</c:v>
                </c:pt>
                <c:pt idx="2">
                  <c:v>Non-Hispanic White</c:v>
                </c:pt>
                <c:pt idx="3">
                  <c:v>Non-Hispanic all other races</c:v>
                </c:pt>
                <c:pt idx="4">
                  <c:v>Non-Hispanic multiple races</c:v>
                </c:pt>
              </c:strCache>
            </c:strRef>
          </c:cat>
          <c:val>
            <c:numRef>
              <c:f>'Tables and Graphs'!$V$187:$V$191</c:f>
              <c:numCache>
                <c:formatCode>0.0</c:formatCode>
                <c:ptCount val="5"/>
                <c:pt idx="0">
                  <c:v>11.7</c:v>
                </c:pt>
                <c:pt idx="1">
                  <c:v>16.899999999999999</c:v>
                </c:pt>
                <c:pt idx="2">
                  <c:v>5.9</c:v>
                </c:pt>
                <c:pt idx="3">
                  <c:v>7.3</c:v>
                </c:pt>
                <c:pt idx="4">
                  <c:v>11.7</c:v>
                </c:pt>
              </c:numCache>
            </c:numRef>
          </c:val>
          <c:extLst>
            <c:ext xmlns:c16="http://schemas.microsoft.com/office/drawing/2014/chart" uri="{C3380CC4-5D6E-409C-BE32-E72D297353CC}">
              <c16:uniqueId val="{00000000-9BE0-4453-83BC-521B40B91C10}"/>
            </c:ext>
          </c:extLst>
        </c:ser>
        <c:ser>
          <c:idx val="1"/>
          <c:order val="1"/>
          <c:tx>
            <c:strRef>
              <c:f>'Tables and Graphs'!$W$186</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Graphs'!$U$187:$U$191</c:f>
              <c:strCache>
                <c:ptCount val="5"/>
                <c:pt idx="0">
                  <c:v>Non-Hispanic Black</c:v>
                </c:pt>
                <c:pt idx="1">
                  <c:v>Hispanic or Latino</c:v>
                </c:pt>
                <c:pt idx="2">
                  <c:v>Non-Hispanic White</c:v>
                </c:pt>
                <c:pt idx="3">
                  <c:v>Non-Hispanic all other races</c:v>
                </c:pt>
                <c:pt idx="4">
                  <c:v>Non-Hispanic multiple races</c:v>
                </c:pt>
              </c:strCache>
            </c:strRef>
          </c:cat>
          <c:val>
            <c:numRef>
              <c:f>'Tables and Graphs'!$W$187:$W$191</c:f>
              <c:numCache>
                <c:formatCode>0.0</c:formatCode>
                <c:ptCount val="5"/>
                <c:pt idx="0">
                  <c:v>10</c:v>
                </c:pt>
                <c:pt idx="1">
                  <c:v>9</c:v>
                </c:pt>
                <c:pt idx="2">
                  <c:v>4.7</c:v>
                </c:pt>
                <c:pt idx="3">
                  <c:v>5.2</c:v>
                </c:pt>
                <c:pt idx="4">
                  <c:v>9.4</c:v>
                </c:pt>
              </c:numCache>
            </c:numRef>
          </c:val>
          <c:extLst>
            <c:ext xmlns:c16="http://schemas.microsoft.com/office/drawing/2014/chart" uri="{C3380CC4-5D6E-409C-BE32-E72D297353CC}">
              <c16:uniqueId val="{00000001-9BE0-4453-83BC-521B40B91C10}"/>
            </c:ext>
          </c:extLst>
        </c:ser>
        <c:ser>
          <c:idx val="2"/>
          <c:order val="2"/>
          <c:tx>
            <c:strRef>
              <c:f>'Tables and Graphs'!$X$186</c:f>
              <c:strCache>
                <c:ptCount val="1"/>
                <c:pt idx="0">
                  <c:v>2019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Graphs'!$U$187:$U$191</c:f>
              <c:strCache>
                <c:ptCount val="5"/>
                <c:pt idx="0">
                  <c:v>Non-Hispanic Black</c:v>
                </c:pt>
                <c:pt idx="1">
                  <c:v>Hispanic or Latino</c:v>
                </c:pt>
                <c:pt idx="2">
                  <c:v>Non-Hispanic White</c:v>
                </c:pt>
                <c:pt idx="3">
                  <c:v>Non-Hispanic all other races</c:v>
                </c:pt>
                <c:pt idx="4">
                  <c:v>Non-Hispanic multiple races</c:v>
                </c:pt>
              </c:strCache>
            </c:strRef>
          </c:cat>
          <c:val>
            <c:numRef>
              <c:f>'Tables and Graphs'!$X$187:$X$191</c:f>
              <c:numCache>
                <c:formatCode>0.0</c:formatCode>
                <c:ptCount val="5"/>
                <c:pt idx="0">
                  <c:v>4.2000000000000028</c:v>
                </c:pt>
                <c:pt idx="1">
                  <c:v>11</c:v>
                </c:pt>
                <c:pt idx="2">
                  <c:v>3.7999999999999972</c:v>
                </c:pt>
                <c:pt idx="3">
                  <c:v>4.2000000000000028</c:v>
                </c:pt>
                <c:pt idx="4">
                  <c:v>5.0999999999999943</c:v>
                </c:pt>
              </c:numCache>
            </c:numRef>
          </c:val>
          <c:extLst>
            <c:ext xmlns:c16="http://schemas.microsoft.com/office/drawing/2014/chart" uri="{C3380CC4-5D6E-409C-BE32-E72D297353CC}">
              <c16:uniqueId val="{00000002-9BE0-4453-83BC-521B40B91C10}"/>
            </c:ext>
          </c:extLst>
        </c:ser>
        <c:dLbls>
          <c:showLegendKey val="0"/>
          <c:showVal val="0"/>
          <c:showCatName val="0"/>
          <c:showSerName val="0"/>
          <c:showPercent val="0"/>
          <c:showBubbleSize val="0"/>
        </c:dLbls>
        <c:gapWidth val="132"/>
        <c:overlap val="-9"/>
        <c:axId val="474554584"/>
        <c:axId val="474553600"/>
      </c:barChart>
      <c:catAx>
        <c:axId val="474554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en-US"/>
          </a:p>
        </c:txPr>
        <c:crossAx val="474553600"/>
        <c:crosses val="autoZero"/>
        <c:auto val="1"/>
        <c:lblAlgn val="ctr"/>
        <c:lblOffset val="100"/>
        <c:noMultiLvlLbl val="0"/>
      </c:catAx>
      <c:valAx>
        <c:axId val="474553600"/>
        <c:scaling>
          <c:orientation val="minMax"/>
          <c:max val="20"/>
        </c:scaling>
        <c:delete val="1"/>
        <c:axPos val="l"/>
        <c:numFmt formatCode="0&quot;%&quot;" sourceLinked="0"/>
        <c:majorTickMark val="none"/>
        <c:minorTickMark val="none"/>
        <c:tickLblPos val="nextTo"/>
        <c:crossAx val="474554584"/>
        <c:crosses val="autoZero"/>
        <c:crossBetween val="between"/>
        <c:majorUnit val="5"/>
      </c:valAx>
      <c:spPr>
        <a:noFill/>
        <a:ln>
          <a:noFill/>
        </a:ln>
        <a:effectLst/>
      </c:spPr>
    </c:plotArea>
    <c:legend>
      <c:legendPos val="t"/>
      <c:layout>
        <c:manualLayout>
          <c:xMode val="edge"/>
          <c:yMode val="edge"/>
          <c:x val="1.989560073647513E-2"/>
          <c:y val="3.6549707602339179E-2"/>
          <c:w val="0.23466982671942127"/>
          <c:h val="0.1300139291799051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mj-lt"/>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171624713958809E-2"/>
          <c:y val="3.313072708016741E-3"/>
          <c:w val="0.77358078523937368"/>
          <c:h val="0.77775417875397157"/>
        </c:manualLayout>
      </c:layout>
      <c:lineChart>
        <c:grouping val="standard"/>
        <c:varyColors val="0"/>
        <c:ser>
          <c:idx val="0"/>
          <c:order val="0"/>
          <c:tx>
            <c:strRef>
              <c:f>'Tables and Graphs'!$I$141</c:f>
              <c:strCache>
                <c:ptCount val="1"/>
                <c:pt idx="0">
                  <c:v>Total U.S.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Graphs'!$J$140:$O$140</c:f>
              <c:strCache>
                <c:ptCount val="6"/>
                <c:pt idx="0">
                  <c:v>2013-2014</c:v>
                </c:pt>
                <c:pt idx="1">
                  <c:v>2014-2015</c:v>
                </c:pt>
                <c:pt idx="2">
                  <c:v>2015-2016</c:v>
                </c:pt>
                <c:pt idx="3">
                  <c:v>2016-2017</c:v>
                </c:pt>
                <c:pt idx="4">
                  <c:v>2017-2018</c:v>
                </c:pt>
                <c:pt idx="5">
                  <c:v>2018-2019</c:v>
                </c:pt>
              </c:strCache>
            </c:strRef>
          </c:cat>
          <c:val>
            <c:numRef>
              <c:f>'Tables and Graphs'!$J$141:$O$141</c:f>
              <c:numCache>
                <c:formatCode>0.0</c:formatCode>
                <c:ptCount val="6"/>
                <c:pt idx="0">
                  <c:v>19.75</c:v>
                </c:pt>
                <c:pt idx="1">
                  <c:v>20.89</c:v>
                </c:pt>
                <c:pt idx="2">
                  <c:v>21.89</c:v>
                </c:pt>
                <c:pt idx="3">
                  <c:v>23.93</c:v>
                </c:pt>
                <c:pt idx="4">
                  <c:v>26.04</c:v>
                </c:pt>
                <c:pt idx="5">
                  <c:v>27.85</c:v>
                </c:pt>
              </c:numCache>
            </c:numRef>
          </c:val>
          <c:smooth val="0"/>
          <c:extLst>
            <c:ext xmlns:c16="http://schemas.microsoft.com/office/drawing/2014/chart" uri="{C3380CC4-5D6E-409C-BE32-E72D297353CC}">
              <c16:uniqueId val="{00000000-71C1-4E14-AF52-1BAE663828F7}"/>
            </c:ext>
          </c:extLst>
        </c:ser>
        <c:ser>
          <c:idx val="1"/>
          <c:order val="1"/>
          <c:tx>
            <c:strRef>
              <c:f>'Tables and Graphs'!$I$142</c:f>
              <c:strCache>
                <c:ptCount val="1"/>
                <c:pt idx="0">
                  <c:v>New Hampshire</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Graphs'!$J$140:$O$140</c:f>
              <c:strCache>
                <c:ptCount val="6"/>
                <c:pt idx="0">
                  <c:v>2013-2014</c:v>
                </c:pt>
                <c:pt idx="1">
                  <c:v>2014-2015</c:v>
                </c:pt>
                <c:pt idx="2">
                  <c:v>2015-2016</c:v>
                </c:pt>
                <c:pt idx="3">
                  <c:v>2016-2017</c:v>
                </c:pt>
                <c:pt idx="4">
                  <c:v>2017-2018</c:v>
                </c:pt>
                <c:pt idx="5">
                  <c:v>2018-2019</c:v>
                </c:pt>
              </c:strCache>
            </c:strRef>
          </c:cat>
          <c:val>
            <c:numRef>
              <c:f>'Tables and Graphs'!$J$142:$O$142</c:f>
              <c:numCache>
                <c:formatCode>0.0</c:formatCode>
                <c:ptCount val="6"/>
                <c:pt idx="0">
                  <c:v>26.49</c:v>
                </c:pt>
                <c:pt idx="1">
                  <c:v>28.01</c:v>
                </c:pt>
                <c:pt idx="2">
                  <c:v>26.1</c:v>
                </c:pt>
                <c:pt idx="3">
                  <c:v>26.7</c:v>
                </c:pt>
                <c:pt idx="4">
                  <c:v>28.85</c:v>
                </c:pt>
                <c:pt idx="5">
                  <c:v>33.17</c:v>
                </c:pt>
              </c:numCache>
            </c:numRef>
          </c:val>
          <c:smooth val="0"/>
          <c:extLst>
            <c:ext xmlns:c16="http://schemas.microsoft.com/office/drawing/2014/chart" uri="{C3380CC4-5D6E-409C-BE32-E72D297353CC}">
              <c16:uniqueId val="{00000001-71C1-4E14-AF52-1BAE663828F7}"/>
            </c:ext>
          </c:extLst>
        </c:ser>
        <c:dLbls>
          <c:showLegendKey val="0"/>
          <c:showVal val="0"/>
          <c:showCatName val="0"/>
          <c:showSerName val="0"/>
          <c:showPercent val="0"/>
          <c:showBubbleSize val="0"/>
        </c:dLbls>
        <c:marker val="1"/>
        <c:smooth val="0"/>
        <c:axId val="511470768"/>
        <c:axId val="511471096"/>
      </c:lineChart>
      <c:catAx>
        <c:axId val="51147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511471096"/>
        <c:crosses val="autoZero"/>
        <c:auto val="1"/>
        <c:lblAlgn val="ctr"/>
        <c:lblOffset val="100"/>
        <c:noMultiLvlLbl val="0"/>
      </c:catAx>
      <c:valAx>
        <c:axId val="511471096"/>
        <c:scaling>
          <c:orientation val="minMax"/>
          <c:max val="100"/>
        </c:scaling>
        <c:delete val="1"/>
        <c:axPos val="l"/>
        <c:numFmt formatCode="0&quot;%&quot;\ " sourceLinked="0"/>
        <c:majorTickMark val="none"/>
        <c:minorTickMark val="none"/>
        <c:tickLblPos val="nextTo"/>
        <c:crossAx val="511470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j-lt"/>
        </a:defRPr>
      </a:pPr>
      <a:endParaRPr lang="en-US"/>
    </a:p>
  </c:txPr>
  <c:externalData r:id="rId3">
    <c:autoUpdate val="0"/>
  </c:externalData>
  <c:userShapes r:id="rId4"/>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171624713958809E-2"/>
          <c:y val="2.6109729704839525E-2"/>
          <c:w val="0.74075460819113859"/>
          <c:h val="0.75020548418289834"/>
        </c:manualLayout>
      </c:layout>
      <c:lineChart>
        <c:grouping val="standard"/>
        <c:varyColors val="0"/>
        <c:ser>
          <c:idx val="0"/>
          <c:order val="0"/>
          <c:tx>
            <c:strRef>
              <c:f>'Tables and Graphs'!$I$170</c:f>
              <c:strCache>
                <c:ptCount val="1"/>
                <c:pt idx="0">
                  <c:v>Total U.S.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j-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Graphs'!$J$169:$O$169</c:f>
              <c:strCache>
                <c:ptCount val="6"/>
                <c:pt idx="0">
                  <c:v>2013-2014</c:v>
                </c:pt>
                <c:pt idx="1">
                  <c:v>2014-2015</c:v>
                </c:pt>
                <c:pt idx="2">
                  <c:v>2015-2016</c:v>
                </c:pt>
                <c:pt idx="3">
                  <c:v>2016-2017</c:v>
                </c:pt>
                <c:pt idx="4">
                  <c:v>2017-2018</c:v>
                </c:pt>
                <c:pt idx="5">
                  <c:v>2018-2019</c:v>
                </c:pt>
              </c:strCache>
            </c:strRef>
          </c:cat>
          <c:val>
            <c:numRef>
              <c:f>'Tables and Graphs'!$J$170:$O$170</c:f>
              <c:numCache>
                <c:formatCode>0.0</c:formatCode>
                <c:ptCount val="6"/>
                <c:pt idx="0">
                  <c:v>11.01</c:v>
                </c:pt>
                <c:pt idx="1">
                  <c:v>11.93</c:v>
                </c:pt>
                <c:pt idx="2">
                  <c:v>12.63</c:v>
                </c:pt>
                <c:pt idx="3">
                  <c:v>13.01</c:v>
                </c:pt>
                <c:pt idx="4">
                  <c:v>13.84</c:v>
                </c:pt>
                <c:pt idx="5">
                  <c:v>15.08</c:v>
                </c:pt>
              </c:numCache>
            </c:numRef>
          </c:val>
          <c:smooth val="0"/>
          <c:extLst>
            <c:ext xmlns:c16="http://schemas.microsoft.com/office/drawing/2014/chart" uri="{C3380CC4-5D6E-409C-BE32-E72D297353CC}">
              <c16:uniqueId val="{00000000-2F72-4DD1-9867-1E3492585A70}"/>
            </c:ext>
          </c:extLst>
        </c:ser>
        <c:ser>
          <c:idx val="1"/>
          <c:order val="1"/>
          <c:tx>
            <c:strRef>
              <c:f>'Tables and Graphs'!$I$171</c:f>
              <c:strCache>
                <c:ptCount val="1"/>
                <c:pt idx="0">
                  <c:v>New Hampshire</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Graphs'!$J$169:$O$169</c:f>
              <c:strCache>
                <c:ptCount val="6"/>
                <c:pt idx="0">
                  <c:v>2013-2014</c:v>
                </c:pt>
                <c:pt idx="1">
                  <c:v>2014-2015</c:v>
                </c:pt>
                <c:pt idx="2">
                  <c:v>2015-2016</c:v>
                </c:pt>
                <c:pt idx="3">
                  <c:v>2016-2017</c:v>
                </c:pt>
                <c:pt idx="4">
                  <c:v>2017-2018</c:v>
                </c:pt>
                <c:pt idx="5">
                  <c:v>2018-2019</c:v>
                </c:pt>
              </c:strCache>
            </c:strRef>
          </c:cat>
          <c:val>
            <c:numRef>
              <c:f>'Tables and Graphs'!$J$171:$O$171</c:f>
              <c:numCache>
                <c:formatCode>0.0</c:formatCode>
                <c:ptCount val="6"/>
                <c:pt idx="0">
                  <c:v>12</c:v>
                </c:pt>
                <c:pt idx="1">
                  <c:v>13.43</c:v>
                </c:pt>
                <c:pt idx="2">
                  <c:v>13.4</c:v>
                </c:pt>
                <c:pt idx="3">
                  <c:v>13.91</c:v>
                </c:pt>
                <c:pt idx="4">
                  <c:v>15.08</c:v>
                </c:pt>
                <c:pt idx="5">
                  <c:v>15.85</c:v>
                </c:pt>
              </c:numCache>
            </c:numRef>
          </c:val>
          <c:smooth val="0"/>
          <c:extLst>
            <c:ext xmlns:c16="http://schemas.microsoft.com/office/drawing/2014/chart" uri="{C3380CC4-5D6E-409C-BE32-E72D297353CC}">
              <c16:uniqueId val="{00000001-2F72-4DD1-9867-1E3492585A70}"/>
            </c:ext>
          </c:extLst>
        </c:ser>
        <c:dLbls>
          <c:showLegendKey val="0"/>
          <c:showVal val="0"/>
          <c:showCatName val="0"/>
          <c:showSerName val="0"/>
          <c:showPercent val="0"/>
          <c:showBubbleSize val="0"/>
        </c:dLbls>
        <c:marker val="1"/>
        <c:smooth val="0"/>
        <c:axId val="546113088"/>
        <c:axId val="546111120"/>
      </c:lineChart>
      <c:catAx>
        <c:axId val="54611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546111120"/>
        <c:crosses val="autoZero"/>
        <c:auto val="1"/>
        <c:lblAlgn val="ctr"/>
        <c:lblOffset val="100"/>
        <c:noMultiLvlLbl val="0"/>
      </c:catAx>
      <c:valAx>
        <c:axId val="546111120"/>
        <c:scaling>
          <c:orientation val="minMax"/>
          <c:max val="25"/>
          <c:min val="0"/>
        </c:scaling>
        <c:delete val="1"/>
        <c:axPos val="l"/>
        <c:numFmt formatCode="0&quot;%&quot;" sourceLinked="0"/>
        <c:majorTickMark val="none"/>
        <c:minorTickMark val="none"/>
        <c:tickLblPos val="nextTo"/>
        <c:crossAx val="546113088"/>
        <c:crosses val="autoZero"/>
        <c:crossBetween val="between"/>
        <c:majorUnit val="5"/>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mj-lt"/>
        </a:defRPr>
      </a:pPr>
      <a:endParaRPr lang="en-US"/>
    </a:p>
  </c:txPr>
  <c:externalData r:id="rId3">
    <c:autoUpdate val="0"/>
  </c:externalData>
  <c:userShapes r:id="rId4"/>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171624713958809E-2"/>
          <c:y val="6.2659437307178711E-2"/>
          <c:w val="0.79796284617740865"/>
          <c:h val="0.76482536722383387"/>
        </c:manualLayout>
      </c:layout>
      <c:lineChart>
        <c:grouping val="standard"/>
        <c:varyColors val="0"/>
        <c:ser>
          <c:idx val="0"/>
          <c:order val="0"/>
          <c:tx>
            <c:strRef>
              <c:f>'Tables and Graphs'!$Y$170</c:f>
              <c:strCache>
                <c:ptCount val="1"/>
                <c:pt idx="0">
                  <c:v>Total U.S.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j-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Graphs'!$Z$169:$AE$169</c:f>
              <c:strCache>
                <c:ptCount val="6"/>
                <c:pt idx="0">
                  <c:v>2013-2014</c:v>
                </c:pt>
                <c:pt idx="1">
                  <c:v>2014-2015</c:v>
                </c:pt>
                <c:pt idx="2">
                  <c:v>2015-2016</c:v>
                </c:pt>
                <c:pt idx="3">
                  <c:v>2016-2017</c:v>
                </c:pt>
                <c:pt idx="4">
                  <c:v>2017-2018</c:v>
                </c:pt>
                <c:pt idx="5">
                  <c:v>2018-2019</c:v>
                </c:pt>
              </c:strCache>
            </c:strRef>
          </c:cat>
          <c:val>
            <c:numRef>
              <c:f>'Tables and Graphs'!$Z$170:$AE$170</c:f>
              <c:numCache>
                <c:formatCode>0.0</c:formatCode>
                <c:ptCount val="6"/>
                <c:pt idx="0">
                  <c:v>9</c:v>
                </c:pt>
                <c:pt idx="1">
                  <c:v>9.7899999999999991</c:v>
                </c:pt>
                <c:pt idx="2">
                  <c:v>10.59</c:v>
                </c:pt>
                <c:pt idx="3">
                  <c:v>11.95</c:v>
                </c:pt>
                <c:pt idx="4">
                  <c:v>13.4</c:v>
                </c:pt>
                <c:pt idx="5">
                  <c:v>14.48</c:v>
                </c:pt>
              </c:numCache>
            </c:numRef>
          </c:val>
          <c:smooth val="0"/>
          <c:extLst>
            <c:ext xmlns:c16="http://schemas.microsoft.com/office/drawing/2014/chart" uri="{C3380CC4-5D6E-409C-BE32-E72D297353CC}">
              <c16:uniqueId val="{00000000-7684-4BA5-AE0E-C968D8D7BFE2}"/>
            </c:ext>
          </c:extLst>
        </c:ser>
        <c:ser>
          <c:idx val="1"/>
          <c:order val="1"/>
          <c:tx>
            <c:strRef>
              <c:f>'Tables and Graphs'!$Y$171</c:f>
              <c:strCache>
                <c:ptCount val="1"/>
                <c:pt idx="0">
                  <c:v>New Hampshire</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Graphs'!$Z$169:$AE$169</c:f>
              <c:strCache>
                <c:ptCount val="6"/>
                <c:pt idx="0">
                  <c:v>2013-2014</c:v>
                </c:pt>
                <c:pt idx="1">
                  <c:v>2014-2015</c:v>
                </c:pt>
                <c:pt idx="2">
                  <c:v>2015-2016</c:v>
                </c:pt>
                <c:pt idx="3">
                  <c:v>2016-2017</c:v>
                </c:pt>
                <c:pt idx="4">
                  <c:v>2017-2018</c:v>
                </c:pt>
                <c:pt idx="5">
                  <c:v>2018-2019</c:v>
                </c:pt>
              </c:strCache>
            </c:strRef>
          </c:cat>
          <c:val>
            <c:numRef>
              <c:f>'Tables and Graphs'!$Z$171:$AE$171</c:f>
              <c:numCache>
                <c:formatCode>0.0</c:formatCode>
                <c:ptCount val="6"/>
                <c:pt idx="0">
                  <c:v>11.78</c:v>
                </c:pt>
                <c:pt idx="1">
                  <c:v>13.21</c:v>
                </c:pt>
                <c:pt idx="2">
                  <c:v>13.17</c:v>
                </c:pt>
                <c:pt idx="3">
                  <c:v>14.23</c:v>
                </c:pt>
                <c:pt idx="4">
                  <c:v>15.07</c:v>
                </c:pt>
                <c:pt idx="5">
                  <c:v>16.71</c:v>
                </c:pt>
              </c:numCache>
            </c:numRef>
          </c:val>
          <c:smooth val="0"/>
          <c:extLst>
            <c:ext xmlns:c16="http://schemas.microsoft.com/office/drawing/2014/chart" uri="{C3380CC4-5D6E-409C-BE32-E72D297353CC}">
              <c16:uniqueId val="{00000001-7684-4BA5-AE0E-C968D8D7BFE2}"/>
            </c:ext>
          </c:extLst>
        </c:ser>
        <c:dLbls>
          <c:showLegendKey val="0"/>
          <c:showVal val="0"/>
          <c:showCatName val="0"/>
          <c:showSerName val="0"/>
          <c:showPercent val="0"/>
          <c:showBubbleSize val="0"/>
        </c:dLbls>
        <c:marker val="1"/>
        <c:smooth val="0"/>
        <c:axId val="565558240"/>
        <c:axId val="565554304"/>
      </c:lineChart>
      <c:catAx>
        <c:axId val="56555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565554304"/>
        <c:crosses val="autoZero"/>
        <c:auto val="1"/>
        <c:lblAlgn val="ctr"/>
        <c:lblOffset val="100"/>
        <c:noMultiLvlLbl val="0"/>
      </c:catAx>
      <c:valAx>
        <c:axId val="565554304"/>
        <c:scaling>
          <c:orientation val="minMax"/>
          <c:max val="25"/>
          <c:min val="0"/>
        </c:scaling>
        <c:delete val="1"/>
        <c:axPos val="l"/>
        <c:numFmt formatCode="0&quot;%&quot;" sourceLinked="0"/>
        <c:majorTickMark val="none"/>
        <c:minorTickMark val="none"/>
        <c:tickLblPos val="nextTo"/>
        <c:crossAx val="565558240"/>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mj-lt"/>
        </a:defRPr>
      </a:pPr>
      <a:endParaRPr lang="en-US"/>
    </a:p>
  </c:txPr>
  <c:externalData r:id="rId3">
    <c:autoUpdate val="0"/>
  </c:externalData>
  <c:userShapes r:id="rId4"/>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171624713958809E-2"/>
          <c:y val="0.15037873555279271"/>
          <c:w val="0.77279122146344981"/>
          <c:h val="0.67710606897822001"/>
        </c:manualLayout>
      </c:layout>
      <c:lineChart>
        <c:grouping val="standard"/>
        <c:varyColors val="0"/>
        <c:ser>
          <c:idx val="0"/>
          <c:order val="0"/>
          <c:tx>
            <c:strRef>
              <c:f>'Tables and Graphs'!$I$154</c:f>
              <c:strCache>
                <c:ptCount val="1"/>
                <c:pt idx="0">
                  <c:v>Total U.S.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j-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Graphs'!$J$153:$O$153</c:f>
              <c:strCache>
                <c:ptCount val="6"/>
                <c:pt idx="0">
                  <c:v>2013-2014</c:v>
                </c:pt>
                <c:pt idx="1">
                  <c:v>2014-2015</c:v>
                </c:pt>
                <c:pt idx="2">
                  <c:v>2015-2016</c:v>
                </c:pt>
                <c:pt idx="3">
                  <c:v>2016-2017</c:v>
                </c:pt>
                <c:pt idx="4">
                  <c:v>2017-2018</c:v>
                </c:pt>
                <c:pt idx="5">
                  <c:v>2018-2019</c:v>
                </c:pt>
              </c:strCache>
            </c:strRef>
          </c:cat>
          <c:val>
            <c:numRef>
              <c:f>'Tables and Graphs'!$J$154:$O$154</c:f>
              <c:numCache>
                <c:formatCode>0.0</c:formatCode>
                <c:ptCount val="6"/>
                <c:pt idx="0">
                  <c:v>7.44</c:v>
                </c:pt>
                <c:pt idx="1">
                  <c:v>7.88</c:v>
                </c:pt>
                <c:pt idx="2">
                  <c:v>8.57</c:v>
                </c:pt>
                <c:pt idx="3">
                  <c:v>9.64</c:v>
                </c:pt>
                <c:pt idx="4">
                  <c:v>10.73</c:v>
                </c:pt>
                <c:pt idx="5">
                  <c:v>11.39</c:v>
                </c:pt>
              </c:numCache>
            </c:numRef>
          </c:val>
          <c:smooth val="0"/>
          <c:extLst>
            <c:ext xmlns:c16="http://schemas.microsoft.com/office/drawing/2014/chart" uri="{C3380CC4-5D6E-409C-BE32-E72D297353CC}">
              <c16:uniqueId val="{00000000-8691-49C2-9538-D9B426B56E26}"/>
            </c:ext>
          </c:extLst>
        </c:ser>
        <c:ser>
          <c:idx val="1"/>
          <c:order val="1"/>
          <c:tx>
            <c:strRef>
              <c:f>'Tables and Graphs'!$I$155</c:f>
              <c:strCache>
                <c:ptCount val="1"/>
                <c:pt idx="0">
                  <c:v>New Hampshire</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Graphs'!$J$153:$O$153</c:f>
              <c:strCache>
                <c:ptCount val="6"/>
                <c:pt idx="0">
                  <c:v>2013-2014</c:v>
                </c:pt>
                <c:pt idx="1">
                  <c:v>2014-2015</c:v>
                </c:pt>
                <c:pt idx="2">
                  <c:v>2015-2016</c:v>
                </c:pt>
                <c:pt idx="3">
                  <c:v>2016-2017</c:v>
                </c:pt>
                <c:pt idx="4">
                  <c:v>2017-2018</c:v>
                </c:pt>
                <c:pt idx="5">
                  <c:v>2018-2019</c:v>
                </c:pt>
              </c:strCache>
            </c:strRef>
          </c:cat>
          <c:val>
            <c:numRef>
              <c:f>'Tables and Graphs'!$J$155:$O$155</c:f>
              <c:numCache>
                <c:formatCode>0.0</c:formatCode>
                <c:ptCount val="6"/>
                <c:pt idx="0">
                  <c:v>10.29</c:v>
                </c:pt>
                <c:pt idx="1">
                  <c:v>10.56</c:v>
                </c:pt>
                <c:pt idx="2">
                  <c:v>10.26</c:v>
                </c:pt>
                <c:pt idx="3">
                  <c:v>10.87</c:v>
                </c:pt>
                <c:pt idx="4">
                  <c:v>12.23</c:v>
                </c:pt>
                <c:pt idx="5">
                  <c:v>12.89</c:v>
                </c:pt>
              </c:numCache>
            </c:numRef>
          </c:val>
          <c:smooth val="0"/>
          <c:extLst>
            <c:ext xmlns:c16="http://schemas.microsoft.com/office/drawing/2014/chart" uri="{C3380CC4-5D6E-409C-BE32-E72D297353CC}">
              <c16:uniqueId val="{00000001-8691-49C2-9538-D9B426B56E26}"/>
            </c:ext>
          </c:extLst>
        </c:ser>
        <c:dLbls>
          <c:showLegendKey val="0"/>
          <c:showVal val="0"/>
          <c:showCatName val="0"/>
          <c:showSerName val="0"/>
          <c:showPercent val="0"/>
          <c:showBubbleSize val="0"/>
        </c:dLbls>
        <c:marker val="1"/>
        <c:smooth val="0"/>
        <c:axId val="565443112"/>
        <c:axId val="565443440"/>
      </c:lineChart>
      <c:catAx>
        <c:axId val="565443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565443440"/>
        <c:crosses val="autoZero"/>
        <c:auto val="1"/>
        <c:lblAlgn val="ctr"/>
        <c:lblOffset val="100"/>
        <c:noMultiLvlLbl val="0"/>
      </c:catAx>
      <c:valAx>
        <c:axId val="565443440"/>
        <c:scaling>
          <c:orientation val="minMax"/>
          <c:max val="15"/>
        </c:scaling>
        <c:delete val="1"/>
        <c:axPos val="l"/>
        <c:numFmt formatCode="0&quot;%&quot;" sourceLinked="0"/>
        <c:majorTickMark val="none"/>
        <c:minorTickMark val="none"/>
        <c:tickLblPos val="nextTo"/>
        <c:crossAx val="565443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mj-lt"/>
        </a:defRPr>
      </a:pPr>
      <a:endParaRPr lang="en-US"/>
    </a:p>
  </c:txPr>
  <c:externalData r:id="rId3">
    <c:autoUpdate val="0"/>
  </c:externalData>
  <c:userShapes r:id="rId4"/>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50617283950615E-2"/>
          <c:y val="0.17387357830271216"/>
          <c:w val="0.9320987654320988"/>
          <c:h val="0.64468101026845326"/>
        </c:manualLayout>
      </c:layout>
      <c:barChart>
        <c:barDir val="col"/>
        <c:grouping val="clustered"/>
        <c:varyColors val="0"/>
        <c:ser>
          <c:idx val="0"/>
          <c:order val="0"/>
          <c:tx>
            <c:strRef>
              <c:f>'Tables and Graphs'!$G$346</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Graphs'!$F$347:$F$348</c:f>
              <c:strCache>
                <c:ptCount val="2"/>
                <c:pt idx="0">
                  <c:v>Male</c:v>
                </c:pt>
                <c:pt idx="1">
                  <c:v>Female</c:v>
                </c:pt>
              </c:strCache>
            </c:strRef>
          </c:cat>
          <c:val>
            <c:numRef>
              <c:f>'Tables and Graphs'!$G$347:$G$348</c:f>
              <c:numCache>
                <c:formatCode>0.0</c:formatCode>
                <c:ptCount val="2"/>
                <c:pt idx="0">
                  <c:v>10.7</c:v>
                </c:pt>
                <c:pt idx="1">
                  <c:v>20.100000000000001</c:v>
                </c:pt>
              </c:numCache>
            </c:numRef>
          </c:val>
          <c:extLst>
            <c:ext xmlns:c16="http://schemas.microsoft.com/office/drawing/2014/chart" uri="{C3380CC4-5D6E-409C-BE32-E72D297353CC}">
              <c16:uniqueId val="{00000000-09C5-48A1-B164-84D7124E4FF2}"/>
            </c:ext>
          </c:extLst>
        </c:ser>
        <c:ser>
          <c:idx val="1"/>
          <c:order val="1"/>
          <c:tx>
            <c:strRef>
              <c:f>'Tables and Graphs'!$H$346</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Graphs'!$F$347:$F$348</c:f>
              <c:strCache>
                <c:ptCount val="2"/>
                <c:pt idx="0">
                  <c:v>Male</c:v>
                </c:pt>
                <c:pt idx="1">
                  <c:v>Female</c:v>
                </c:pt>
              </c:strCache>
            </c:strRef>
          </c:cat>
          <c:val>
            <c:numRef>
              <c:f>'Tables and Graphs'!$H$347:$H$348</c:f>
              <c:numCache>
                <c:formatCode>0.0</c:formatCode>
                <c:ptCount val="2"/>
                <c:pt idx="0">
                  <c:v>11.5</c:v>
                </c:pt>
                <c:pt idx="1">
                  <c:v>20.6</c:v>
                </c:pt>
              </c:numCache>
            </c:numRef>
          </c:val>
          <c:extLst>
            <c:ext xmlns:c16="http://schemas.microsoft.com/office/drawing/2014/chart" uri="{C3380CC4-5D6E-409C-BE32-E72D297353CC}">
              <c16:uniqueId val="{00000001-09C5-48A1-B164-84D7124E4FF2}"/>
            </c:ext>
          </c:extLst>
        </c:ser>
        <c:ser>
          <c:idx val="2"/>
          <c:order val="2"/>
          <c:tx>
            <c:strRef>
              <c:f>'Tables and Graphs'!$I$346</c:f>
              <c:strCache>
                <c:ptCount val="1"/>
                <c:pt idx="0">
                  <c:v>2019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Graphs'!$F$347:$F$348</c:f>
              <c:strCache>
                <c:ptCount val="2"/>
                <c:pt idx="0">
                  <c:v>Male</c:v>
                </c:pt>
                <c:pt idx="1">
                  <c:v>Female</c:v>
                </c:pt>
              </c:strCache>
            </c:strRef>
          </c:cat>
          <c:val>
            <c:numRef>
              <c:f>'Tables and Graphs'!$I$347:$I$348</c:f>
              <c:numCache>
                <c:formatCode>0.0</c:formatCode>
                <c:ptCount val="2"/>
                <c:pt idx="0">
                  <c:v>14.4</c:v>
                </c:pt>
                <c:pt idx="1">
                  <c:v>22.5</c:v>
                </c:pt>
              </c:numCache>
            </c:numRef>
          </c:val>
          <c:extLst>
            <c:ext xmlns:c16="http://schemas.microsoft.com/office/drawing/2014/chart" uri="{C3380CC4-5D6E-409C-BE32-E72D297353CC}">
              <c16:uniqueId val="{00000002-09C5-48A1-B164-84D7124E4FF2}"/>
            </c:ext>
          </c:extLst>
        </c:ser>
        <c:dLbls>
          <c:showLegendKey val="0"/>
          <c:showVal val="0"/>
          <c:showCatName val="0"/>
          <c:showSerName val="0"/>
          <c:showPercent val="0"/>
          <c:showBubbleSize val="0"/>
        </c:dLbls>
        <c:gapWidth val="190"/>
        <c:overlap val="-19"/>
        <c:axId val="565304696"/>
        <c:axId val="565303056"/>
      </c:barChart>
      <c:catAx>
        <c:axId val="565304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en-US"/>
          </a:p>
        </c:txPr>
        <c:crossAx val="565303056"/>
        <c:crosses val="autoZero"/>
        <c:auto val="1"/>
        <c:lblAlgn val="ctr"/>
        <c:lblOffset val="100"/>
        <c:noMultiLvlLbl val="0"/>
      </c:catAx>
      <c:valAx>
        <c:axId val="565303056"/>
        <c:scaling>
          <c:orientation val="minMax"/>
        </c:scaling>
        <c:delete val="1"/>
        <c:axPos val="l"/>
        <c:numFmt formatCode="0&quot;%&quot;" sourceLinked="0"/>
        <c:majorTickMark val="none"/>
        <c:minorTickMark val="none"/>
        <c:tickLblPos val="nextTo"/>
        <c:crossAx val="565304696"/>
        <c:crosses val="autoZero"/>
        <c:crossBetween val="between"/>
      </c:valAx>
      <c:spPr>
        <a:noFill/>
        <a:ln>
          <a:noFill/>
        </a:ln>
        <a:effectLst/>
      </c:spPr>
    </c:plotArea>
    <c:legend>
      <c:legendPos val="t"/>
      <c:layout>
        <c:manualLayout>
          <c:xMode val="edge"/>
          <c:yMode val="edge"/>
          <c:x val="5.3696412948381435E-2"/>
          <c:y val="5.8479532163742687E-2"/>
          <c:w val="0.35865655681928643"/>
          <c:h val="0.1300139291799051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mj-l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DOE!$C$36</c:f>
              <c:strCache>
                <c:ptCount val="1"/>
                <c:pt idx="0">
                  <c:v>NH Public Schools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DOE!$B$37:$B$38</c:f>
              <c:strCache>
                <c:ptCount val="2"/>
                <c:pt idx="0">
                  <c:v>White Non-Hispanic</c:v>
                </c:pt>
                <c:pt idx="1">
                  <c:v>Other</c:v>
                </c:pt>
              </c:strCache>
            </c:strRef>
          </c:cat>
          <c:val>
            <c:numRef>
              <c:f>DOE!$C$37:$C$38</c:f>
              <c:numCache>
                <c:formatCode>0.0%</c:formatCode>
                <c:ptCount val="2"/>
                <c:pt idx="0">
                  <c:v>0.84329999999999994</c:v>
                </c:pt>
                <c:pt idx="1">
                  <c:v>0.15659999999999999</c:v>
                </c:pt>
              </c:numCache>
            </c:numRef>
          </c:val>
          <c:extLst>
            <c:ext xmlns:c16="http://schemas.microsoft.com/office/drawing/2014/chart" uri="{C3380CC4-5D6E-409C-BE32-E72D297353CC}">
              <c16:uniqueId val="{00000000-D62F-42C4-939A-59903DAE77AE}"/>
            </c:ext>
          </c:extLst>
        </c:ser>
        <c:ser>
          <c:idx val="1"/>
          <c:order val="1"/>
          <c:tx>
            <c:strRef>
              <c:f>DOE!$D$36</c:f>
              <c:strCache>
                <c:ptCount val="1"/>
                <c:pt idx="0">
                  <c:v>CC-NH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DOE!$B$37:$B$38</c:f>
              <c:strCache>
                <c:ptCount val="2"/>
                <c:pt idx="0">
                  <c:v>White Non-Hispanic</c:v>
                </c:pt>
                <c:pt idx="1">
                  <c:v>Other</c:v>
                </c:pt>
              </c:strCache>
            </c:strRef>
          </c:cat>
          <c:val>
            <c:numRef>
              <c:f>DOE!$D$37:$D$38</c:f>
              <c:numCache>
                <c:formatCode>0.0%</c:formatCode>
                <c:ptCount val="2"/>
                <c:pt idx="0">
                  <c:v>0.75555555555555554</c:v>
                </c:pt>
                <c:pt idx="1">
                  <c:v>0.24444444444444444</c:v>
                </c:pt>
              </c:numCache>
            </c:numRef>
          </c:val>
          <c:extLst>
            <c:ext xmlns:c16="http://schemas.microsoft.com/office/drawing/2014/chart" uri="{C3380CC4-5D6E-409C-BE32-E72D297353CC}">
              <c16:uniqueId val="{00000001-D62F-42C4-939A-59903DAE77AE}"/>
            </c:ext>
          </c:extLst>
        </c:ser>
        <c:dLbls>
          <c:showLegendKey val="0"/>
          <c:showVal val="0"/>
          <c:showCatName val="0"/>
          <c:showSerName val="0"/>
          <c:showPercent val="0"/>
          <c:showBubbleSize val="0"/>
        </c:dLbls>
        <c:gapWidth val="219"/>
        <c:overlap val="-27"/>
        <c:axId val="543319456"/>
        <c:axId val="551607344"/>
      </c:barChart>
      <c:catAx>
        <c:axId val="54331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551607344"/>
        <c:crosses val="autoZero"/>
        <c:auto val="1"/>
        <c:lblAlgn val="ctr"/>
        <c:lblOffset val="100"/>
        <c:noMultiLvlLbl val="0"/>
      </c:catAx>
      <c:valAx>
        <c:axId val="551607344"/>
        <c:scaling>
          <c:orientation val="minMax"/>
        </c:scaling>
        <c:delete val="1"/>
        <c:axPos val="l"/>
        <c:numFmt formatCode="0.0%" sourceLinked="1"/>
        <c:majorTickMark val="none"/>
        <c:minorTickMark val="none"/>
        <c:tickLblPos val="nextTo"/>
        <c:crossAx val="543319456"/>
        <c:crosses val="autoZero"/>
        <c:crossBetween val="between"/>
      </c:valAx>
      <c:spPr>
        <a:noFill/>
        <a:ln>
          <a:noFill/>
        </a:ln>
        <a:effectLst/>
      </c:spPr>
    </c:plotArea>
    <c:legend>
      <c:legendPos val="t"/>
      <c:layout>
        <c:manualLayout>
          <c:xMode val="edge"/>
          <c:yMode val="edge"/>
          <c:x val="6.3956255468066478E-2"/>
          <c:y val="4.9313138429024302E-2"/>
          <c:w val="0.39430971128608922"/>
          <c:h val="0.12923758781649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960784313725492E-2"/>
          <c:y val="0.15925369526177649"/>
          <c:w val="0.94607843137254899"/>
          <c:h val="0.65930089330938879"/>
        </c:manualLayout>
      </c:layout>
      <c:barChart>
        <c:barDir val="col"/>
        <c:grouping val="clustered"/>
        <c:varyColors val="0"/>
        <c:ser>
          <c:idx val="0"/>
          <c:order val="0"/>
          <c:tx>
            <c:strRef>
              <c:f>'Tables and Graphs'!$L$346</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Graphs'!$K$347:$K$349</c:f>
              <c:strCache>
                <c:ptCount val="3"/>
                <c:pt idx="0">
                  <c:v>15 or younger</c:v>
                </c:pt>
                <c:pt idx="1">
                  <c:v>16 or 17</c:v>
                </c:pt>
                <c:pt idx="2">
                  <c:v>18 or older</c:v>
                </c:pt>
              </c:strCache>
            </c:strRef>
          </c:cat>
          <c:val>
            <c:numRef>
              <c:f>'Tables and Graphs'!$L$347:$L$349</c:f>
              <c:numCache>
                <c:formatCode>0.0</c:formatCode>
                <c:ptCount val="3"/>
                <c:pt idx="0">
                  <c:v>15</c:v>
                </c:pt>
                <c:pt idx="1">
                  <c:v>15.3</c:v>
                </c:pt>
                <c:pt idx="2">
                  <c:v>16.7</c:v>
                </c:pt>
              </c:numCache>
            </c:numRef>
          </c:val>
          <c:extLst>
            <c:ext xmlns:c16="http://schemas.microsoft.com/office/drawing/2014/chart" uri="{C3380CC4-5D6E-409C-BE32-E72D297353CC}">
              <c16:uniqueId val="{00000000-F34C-44CA-AF05-B8F77A7F2196}"/>
            </c:ext>
          </c:extLst>
        </c:ser>
        <c:ser>
          <c:idx val="1"/>
          <c:order val="1"/>
          <c:tx>
            <c:strRef>
              <c:f>'Tables and Graphs'!$M$346</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Graphs'!$K$347:$K$349</c:f>
              <c:strCache>
                <c:ptCount val="3"/>
                <c:pt idx="0">
                  <c:v>15 or younger</c:v>
                </c:pt>
                <c:pt idx="1">
                  <c:v>16 or 17</c:v>
                </c:pt>
                <c:pt idx="2">
                  <c:v>18 or older</c:v>
                </c:pt>
              </c:strCache>
            </c:strRef>
          </c:cat>
          <c:val>
            <c:numRef>
              <c:f>'Tables and Graphs'!$M$347:$M$349</c:f>
              <c:numCache>
                <c:formatCode>0.0</c:formatCode>
                <c:ptCount val="3"/>
                <c:pt idx="0">
                  <c:v>14.9</c:v>
                </c:pt>
                <c:pt idx="1">
                  <c:v>16.899999999999999</c:v>
                </c:pt>
                <c:pt idx="2">
                  <c:v>16.600000000000001</c:v>
                </c:pt>
              </c:numCache>
            </c:numRef>
          </c:val>
          <c:extLst>
            <c:ext xmlns:c16="http://schemas.microsoft.com/office/drawing/2014/chart" uri="{C3380CC4-5D6E-409C-BE32-E72D297353CC}">
              <c16:uniqueId val="{00000001-F34C-44CA-AF05-B8F77A7F2196}"/>
            </c:ext>
          </c:extLst>
        </c:ser>
        <c:ser>
          <c:idx val="2"/>
          <c:order val="2"/>
          <c:tx>
            <c:strRef>
              <c:f>'Tables and Graphs'!$N$346</c:f>
              <c:strCache>
                <c:ptCount val="1"/>
                <c:pt idx="0">
                  <c:v>2019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Graphs'!$K$347:$K$349</c:f>
              <c:strCache>
                <c:ptCount val="3"/>
                <c:pt idx="0">
                  <c:v>15 or younger</c:v>
                </c:pt>
                <c:pt idx="1">
                  <c:v>16 or 17</c:v>
                </c:pt>
                <c:pt idx="2">
                  <c:v>18 or older</c:v>
                </c:pt>
              </c:strCache>
            </c:strRef>
          </c:cat>
          <c:val>
            <c:numRef>
              <c:f>'Tables and Graphs'!$N$347:$N$349</c:f>
              <c:numCache>
                <c:formatCode>0.0</c:formatCode>
                <c:ptCount val="3"/>
                <c:pt idx="0">
                  <c:v>18.3</c:v>
                </c:pt>
                <c:pt idx="1">
                  <c:v>19</c:v>
                </c:pt>
                <c:pt idx="2">
                  <c:v>16.8</c:v>
                </c:pt>
              </c:numCache>
            </c:numRef>
          </c:val>
          <c:extLst>
            <c:ext xmlns:c16="http://schemas.microsoft.com/office/drawing/2014/chart" uri="{C3380CC4-5D6E-409C-BE32-E72D297353CC}">
              <c16:uniqueId val="{00000002-F34C-44CA-AF05-B8F77A7F2196}"/>
            </c:ext>
          </c:extLst>
        </c:ser>
        <c:dLbls>
          <c:showLegendKey val="0"/>
          <c:showVal val="0"/>
          <c:showCatName val="0"/>
          <c:showSerName val="0"/>
          <c:showPercent val="0"/>
          <c:showBubbleSize val="0"/>
        </c:dLbls>
        <c:gapWidth val="190"/>
        <c:overlap val="-19"/>
        <c:axId val="565366688"/>
        <c:axId val="565372264"/>
      </c:barChart>
      <c:catAx>
        <c:axId val="56536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en-US"/>
          </a:p>
        </c:txPr>
        <c:crossAx val="565372264"/>
        <c:crosses val="autoZero"/>
        <c:auto val="1"/>
        <c:lblAlgn val="ctr"/>
        <c:lblOffset val="100"/>
        <c:noMultiLvlLbl val="0"/>
      </c:catAx>
      <c:valAx>
        <c:axId val="565372264"/>
        <c:scaling>
          <c:orientation val="minMax"/>
          <c:max val="20"/>
          <c:min val="0"/>
        </c:scaling>
        <c:delete val="1"/>
        <c:axPos val="l"/>
        <c:numFmt formatCode="0&quot;%&quot;" sourceLinked="0"/>
        <c:majorTickMark val="none"/>
        <c:minorTickMark val="none"/>
        <c:tickLblPos val="nextTo"/>
        <c:crossAx val="565366688"/>
        <c:crosses val="autoZero"/>
        <c:crossBetween val="between"/>
        <c:majorUnit val="5"/>
      </c:valAx>
      <c:spPr>
        <a:noFill/>
        <a:ln w="25400">
          <a:noFill/>
        </a:ln>
        <a:effectLst/>
      </c:spPr>
    </c:plotArea>
    <c:legend>
      <c:legendPos val="t"/>
      <c:layout>
        <c:manualLayout>
          <c:xMode val="edge"/>
          <c:yMode val="edge"/>
          <c:x val="3.2837347537440172E-2"/>
          <c:y val="2.9239766081871343E-2"/>
          <c:w val="0.26520765786629613"/>
          <c:h val="0.1300139291799051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mj-lt"/>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364842454394693E-2"/>
          <c:y val="0.13233123820048809"/>
          <c:w val="0.97512437810945274"/>
          <c:h val="0.63075298153520265"/>
        </c:manualLayout>
      </c:layout>
      <c:barChart>
        <c:barDir val="col"/>
        <c:grouping val="clustered"/>
        <c:varyColors val="0"/>
        <c:ser>
          <c:idx val="0"/>
          <c:order val="0"/>
          <c:tx>
            <c:strRef>
              <c:f>'Tables and Graphs'!$V$346</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Graphs'!$U$347:$U$351</c:f>
              <c:strCache>
                <c:ptCount val="5"/>
                <c:pt idx="0">
                  <c:v>Non-Hispanic Black</c:v>
                </c:pt>
                <c:pt idx="1">
                  <c:v>Hispanic or Latino</c:v>
                </c:pt>
                <c:pt idx="2">
                  <c:v>Non-Hispanic White</c:v>
                </c:pt>
                <c:pt idx="3">
                  <c:v>Non-Hispanic all other races</c:v>
                </c:pt>
                <c:pt idx="4">
                  <c:v>Non-Hispanic multiple races</c:v>
                </c:pt>
              </c:strCache>
            </c:strRef>
          </c:cat>
          <c:val>
            <c:numRef>
              <c:f>'Tables and Graphs'!$V$347:$V$351</c:f>
              <c:numCache>
                <c:formatCode>0.0</c:formatCode>
                <c:ptCount val="5"/>
                <c:pt idx="0">
                  <c:v>12.2</c:v>
                </c:pt>
                <c:pt idx="1">
                  <c:v>24.8</c:v>
                </c:pt>
                <c:pt idx="2">
                  <c:v>14.7</c:v>
                </c:pt>
                <c:pt idx="3">
                  <c:v>18.399999999999999</c:v>
                </c:pt>
                <c:pt idx="4">
                  <c:v>19.8</c:v>
                </c:pt>
              </c:numCache>
            </c:numRef>
          </c:val>
          <c:extLst>
            <c:ext xmlns:c16="http://schemas.microsoft.com/office/drawing/2014/chart" uri="{C3380CC4-5D6E-409C-BE32-E72D297353CC}">
              <c16:uniqueId val="{00000000-848B-434A-B086-A4C5715D2BD5}"/>
            </c:ext>
          </c:extLst>
        </c:ser>
        <c:ser>
          <c:idx val="1"/>
          <c:order val="1"/>
          <c:tx>
            <c:strRef>
              <c:f>'Tables and Graphs'!$W$346</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Graphs'!$U$347:$U$351</c:f>
              <c:strCache>
                <c:ptCount val="5"/>
                <c:pt idx="0">
                  <c:v>Non-Hispanic Black</c:v>
                </c:pt>
                <c:pt idx="1">
                  <c:v>Hispanic or Latino</c:v>
                </c:pt>
                <c:pt idx="2">
                  <c:v>Non-Hispanic White</c:v>
                </c:pt>
                <c:pt idx="3">
                  <c:v>Non-Hispanic all other races</c:v>
                </c:pt>
                <c:pt idx="4">
                  <c:v>Non-Hispanic multiple races</c:v>
                </c:pt>
              </c:strCache>
            </c:strRef>
          </c:cat>
          <c:val>
            <c:numRef>
              <c:f>'Tables and Graphs'!$W$347:$W$351</c:f>
              <c:numCache>
                <c:formatCode>0.0</c:formatCode>
                <c:ptCount val="5"/>
                <c:pt idx="0">
                  <c:v>20.6</c:v>
                </c:pt>
                <c:pt idx="1">
                  <c:v>22.1</c:v>
                </c:pt>
                <c:pt idx="2">
                  <c:v>15.5</c:v>
                </c:pt>
                <c:pt idx="3">
                  <c:v>12.2</c:v>
                </c:pt>
                <c:pt idx="4">
                  <c:v>28.6</c:v>
                </c:pt>
              </c:numCache>
            </c:numRef>
          </c:val>
          <c:extLst>
            <c:ext xmlns:c16="http://schemas.microsoft.com/office/drawing/2014/chart" uri="{C3380CC4-5D6E-409C-BE32-E72D297353CC}">
              <c16:uniqueId val="{00000001-848B-434A-B086-A4C5715D2BD5}"/>
            </c:ext>
          </c:extLst>
        </c:ser>
        <c:ser>
          <c:idx val="2"/>
          <c:order val="2"/>
          <c:tx>
            <c:strRef>
              <c:f>'Tables and Graphs'!$X$346</c:f>
              <c:strCache>
                <c:ptCount val="1"/>
                <c:pt idx="0">
                  <c:v>2019</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Graphs'!$U$347:$U$351</c:f>
              <c:strCache>
                <c:ptCount val="5"/>
                <c:pt idx="0">
                  <c:v>Non-Hispanic Black</c:v>
                </c:pt>
                <c:pt idx="1">
                  <c:v>Hispanic or Latino</c:v>
                </c:pt>
                <c:pt idx="2">
                  <c:v>Non-Hispanic White</c:v>
                </c:pt>
                <c:pt idx="3">
                  <c:v>Non-Hispanic all other races</c:v>
                </c:pt>
                <c:pt idx="4">
                  <c:v>Non-Hispanic multiple races</c:v>
                </c:pt>
              </c:strCache>
            </c:strRef>
          </c:cat>
          <c:val>
            <c:numRef>
              <c:f>'Tables and Graphs'!$X$347:$X$351</c:f>
              <c:numCache>
                <c:formatCode>0.0</c:formatCode>
                <c:ptCount val="5"/>
                <c:pt idx="0">
                  <c:v>17.8</c:v>
                </c:pt>
                <c:pt idx="1">
                  <c:v>24.6</c:v>
                </c:pt>
                <c:pt idx="2">
                  <c:v>18.2</c:v>
                </c:pt>
                <c:pt idx="3">
                  <c:v>16.600000000000001</c:v>
                </c:pt>
                <c:pt idx="4">
                  <c:v>23.1</c:v>
                </c:pt>
              </c:numCache>
            </c:numRef>
          </c:val>
          <c:extLst>
            <c:ext xmlns:c16="http://schemas.microsoft.com/office/drawing/2014/chart" uri="{C3380CC4-5D6E-409C-BE32-E72D297353CC}">
              <c16:uniqueId val="{00000002-848B-434A-B086-A4C5715D2BD5}"/>
            </c:ext>
          </c:extLst>
        </c:ser>
        <c:dLbls>
          <c:showLegendKey val="0"/>
          <c:showVal val="0"/>
          <c:showCatName val="0"/>
          <c:showSerName val="0"/>
          <c:showPercent val="0"/>
          <c:showBubbleSize val="0"/>
        </c:dLbls>
        <c:gapWidth val="140"/>
        <c:overlap val="-10"/>
        <c:axId val="541585856"/>
        <c:axId val="541582248"/>
      </c:barChart>
      <c:catAx>
        <c:axId val="54158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41582248"/>
        <c:crosses val="autoZero"/>
        <c:auto val="1"/>
        <c:lblAlgn val="ctr"/>
        <c:lblOffset val="100"/>
        <c:noMultiLvlLbl val="0"/>
      </c:catAx>
      <c:valAx>
        <c:axId val="541582248"/>
        <c:scaling>
          <c:orientation val="minMax"/>
        </c:scaling>
        <c:delete val="1"/>
        <c:axPos val="l"/>
        <c:numFmt formatCode="0&quot;%&quot;" sourceLinked="0"/>
        <c:majorTickMark val="none"/>
        <c:minorTickMark val="none"/>
        <c:tickLblPos val="nextTo"/>
        <c:crossAx val="541585856"/>
        <c:crosses val="autoZero"/>
        <c:crossBetween val="between"/>
      </c:valAx>
      <c:spPr>
        <a:noFill/>
        <a:ln>
          <a:noFill/>
        </a:ln>
        <a:effectLst/>
      </c:spPr>
    </c:plotArea>
    <c:legend>
      <c:legendPos val="t"/>
      <c:layout>
        <c:manualLayout>
          <c:xMode val="edge"/>
          <c:yMode val="edge"/>
          <c:x val="1.7935094866873003E-2"/>
          <c:y val="5.1169590643274851E-2"/>
          <c:w val="0.1992042739060603"/>
          <c:h val="0.117711355159552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171624713958809E-2"/>
          <c:y val="0.10651908642998573"/>
          <c:w val="0.75448458530784346"/>
          <c:h val="0.66817585301837268"/>
        </c:manualLayout>
      </c:layout>
      <c:lineChart>
        <c:grouping val="standard"/>
        <c:varyColors val="0"/>
        <c:ser>
          <c:idx val="0"/>
          <c:order val="0"/>
          <c:tx>
            <c:strRef>
              <c:f>'Tables and Graphs'!$M$4</c:f>
              <c:strCache>
                <c:ptCount val="1"/>
                <c:pt idx="0">
                  <c:v>Total U.S.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j-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Graphs'!$N$3:$S$3</c:f>
              <c:numCache>
                <c:formatCode>General</c:formatCode>
                <c:ptCount val="6"/>
                <c:pt idx="0">
                  <c:v>2014</c:v>
                </c:pt>
                <c:pt idx="1">
                  <c:v>2015</c:v>
                </c:pt>
                <c:pt idx="2">
                  <c:v>2016</c:v>
                </c:pt>
                <c:pt idx="3">
                  <c:v>2017</c:v>
                </c:pt>
                <c:pt idx="4">
                  <c:v>2018</c:v>
                </c:pt>
                <c:pt idx="5">
                  <c:v>2019</c:v>
                </c:pt>
              </c:numCache>
            </c:numRef>
          </c:cat>
          <c:val>
            <c:numRef>
              <c:f>'Tables and Graphs'!$N$4:$S$4</c:f>
              <c:numCache>
                <c:formatCode>0.0</c:formatCode>
                <c:ptCount val="6"/>
                <c:pt idx="0">
                  <c:v>17</c:v>
                </c:pt>
                <c:pt idx="1">
                  <c:v>16.7</c:v>
                </c:pt>
                <c:pt idx="2">
                  <c:v>16.5</c:v>
                </c:pt>
                <c:pt idx="3">
                  <c:v>17.100000000000001</c:v>
                </c:pt>
                <c:pt idx="4">
                  <c:v>17.2</c:v>
                </c:pt>
                <c:pt idx="5">
                  <c:v>16</c:v>
                </c:pt>
              </c:numCache>
            </c:numRef>
          </c:val>
          <c:smooth val="0"/>
          <c:extLst>
            <c:ext xmlns:c16="http://schemas.microsoft.com/office/drawing/2014/chart" uri="{C3380CC4-5D6E-409C-BE32-E72D297353CC}">
              <c16:uniqueId val="{00000000-AD65-4192-8ADC-4BD382695FE8}"/>
            </c:ext>
          </c:extLst>
        </c:ser>
        <c:ser>
          <c:idx val="1"/>
          <c:order val="1"/>
          <c:tx>
            <c:strRef>
              <c:f>'Tables and Graphs'!$M$5</c:f>
              <c:strCache>
                <c:ptCount val="1"/>
                <c:pt idx="0">
                  <c:v>New Hampshire</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Graphs'!$N$3:$S$3</c:f>
              <c:numCache>
                <c:formatCode>General</c:formatCode>
                <c:ptCount val="6"/>
                <c:pt idx="0">
                  <c:v>2014</c:v>
                </c:pt>
                <c:pt idx="1">
                  <c:v>2015</c:v>
                </c:pt>
                <c:pt idx="2">
                  <c:v>2016</c:v>
                </c:pt>
                <c:pt idx="3">
                  <c:v>2017</c:v>
                </c:pt>
                <c:pt idx="4">
                  <c:v>2018</c:v>
                </c:pt>
                <c:pt idx="5">
                  <c:v>2019</c:v>
                </c:pt>
              </c:numCache>
            </c:numRef>
          </c:cat>
          <c:val>
            <c:numRef>
              <c:f>'Tables and Graphs'!$N$5:$S$5</c:f>
              <c:numCache>
                <c:formatCode>0.0</c:formatCode>
                <c:ptCount val="6"/>
                <c:pt idx="0">
                  <c:v>27.6</c:v>
                </c:pt>
                <c:pt idx="1">
                  <c:v>30.7</c:v>
                </c:pt>
                <c:pt idx="2">
                  <c:v>30</c:v>
                </c:pt>
                <c:pt idx="3">
                  <c:v>25.9</c:v>
                </c:pt>
                <c:pt idx="4">
                  <c:v>19.5</c:v>
                </c:pt>
                <c:pt idx="5">
                  <c:v>17.2</c:v>
                </c:pt>
              </c:numCache>
            </c:numRef>
          </c:val>
          <c:smooth val="0"/>
          <c:extLst>
            <c:ext xmlns:c16="http://schemas.microsoft.com/office/drawing/2014/chart" uri="{C3380CC4-5D6E-409C-BE32-E72D297353CC}">
              <c16:uniqueId val="{00000001-AD65-4192-8ADC-4BD382695FE8}"/>
            </c:ext>
          </c:extLst>
        </c:ser>
        <c:dLbls>
          <c:showLegendKey val="0"/>
          <c:showVal val="0"/>
          <c:showCatName val="0"/>
          <c:showSerName val="0"/>
          <c:showPercent val="0"/>
          <c:showBubbleSize val="0"/>
        </c:dLbls>
        <c:marker val="1"/>
        <c:smooth val="0"/>
        <c:axId val="433264304"/>
        <c:axId val="433255120"/>
      </c:lineChart>
      <c:catAx>
        <c:axId val="43326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j-lt"/>
                <a:ea typeface="+mn-ea"/>
                <a:cs typeface="+mn-cs"/>
              </a:defRPr>
            </a:pPr>
            <a:endParaRPr lang="en-US"/>
          </a:p>
        </c:txPr>
        <c:crossAx val="433255120"/>
        <c:crosses val="autoZero"/>
        <c:auto val="1"/>
        <c:lblAlgn val="ctr"/>
        <c:lblOffset val="100"/>
        <c:noMultiLvlLbl val="0"/>
      </c:catAx>
      <c:valAx>
        <c:axId val="433255120"/>
        <c:scaling>
          <c:orientation val="minMax"/>
        </c:scaling>
        <c:delete val="1"/>
        <c:axPos val="l"/>
        <c:numFmt formatCode="0&quot;%&quot;" sourceLinked="0"/>
        <c:majorTickMark val="none"/>
        <c:minorTickMark val="none"/>
        <c:tickLblPos val="nextTo"/>
        <c:crossAx val="43326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mj-lt"/>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LGBQ!$B$19</c:f>
              <c:strCache>
                <c:ptCount val="1"/>
                <c:pt idx="0">
                  <c:v>NH High Schools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LGBQ!$C$18:$D$18</c:f>
              <c:strCache>
                <c:ptCount val="2"/>
                <c:pt idx="0">
                  <c:v>Heterosexual</c:v>
                </c:pt>
                <c:pt idx="1">
                  <c:v>LGBQ*</c:v>
                </c:pt>
              </c:strCache>
            </c:strRef>
          </c:cat>
          <c:val>
            <c:numRef>
              <c:f>LGBQ!$C$19:$D$19</c:f>
              <c:numCache>
                <c:formatCode>0.0%</c:formatCode>
                <c:ptCount val="2"/>
                <c:pt idx="0">
                  <c:v>0.84</c:v>
                </c:pt>
                <c:pt idx="1">
                  <c:v>0.15999999999999998</c:v>
                </c:pt>
              </c:numCache>
            </c:numRef>
          </c:val>
          <c:extLst>
            <c:ext xmlns:c16="http://schemas.microsoft.com/office/drawing/2014/chart" uri="{C3380CC4-5D6E-409C-BE32-E72D297353CC}">
              <c16:uniqueId val="{00000000-F4F6-48B6-B1E7-59CAB6961847}"/>
            </c:ext>
          </c:extLst>
        </c:ser>
        <c:ser>
          <c:idx val="1"/>
          <c:order val="1"/>
          <c:tx>
            <c:strRef>
              <c:f>LGBQ!$B$20</c:f>
              <c:strCache>
                <c:ptCount val="1"/>
                <c:pt idx="0">
                  <c:v>CC-NH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LGBQ!$C$18:$D$18</c:f>
              <c:strCache>
                <c:ptCount val="2"/>
                <c:pt idx="0">
                  <c:v>Heterosexual</c:v>
                </c:pt>
                <c:pt idx="1">
                  <c:v>LGBQ*</c:v>
                </c:pt>
              </c:strCache>
            </c:strRef>
          </c:cat>
          <c:val>
            <c:numRef>
              <c:f>LGBQ!$C$20:$D$20</c:f>
              <c:numCache>
                <c:formatCode>0.0%</c:formatCode>
                <c:ptCount val="2"/>
                <c:pt idx="0">
                  <c:v>0.69767441860465107</c:v>
                </c:pt>
                <c:pt idx="1">
                  <c:v>0.30232558139534887</c:v>
                </c:pt>
              </c:numCache>
            </c:numRef>
          </c:val>
          <c:extLst>
            <c:ext xmlns:c16="http://schemas.microsoft.com/office/drawing/2014/chart" uri="{C3380CC4-5D6E-409C-BE32-E72D297353CC}">
              <c16:uniqueId val="{00000001-F4F6-48B6-B1E7-59CAB6961847}"/>
            </c:ext>
          </c:extLst>
        </c:ser>
        <c:dLbls>
          <c:dLblPos val="outEnd"/>
          <c:showLegendKey val="0"/>
          <c:showVal val="1"/>
          <c:showCatName val="0"/>
          <c:showSerName val="0"/>
          <c:showPercent val="0"/>
          <c:showBubbleSize val="0"/>
        </c:dLbls>
        <c:gapWidth val="219"/>
        <c:overlap val="-27"/>
        <c:axId val="479186632"/>
        <c:axId val="479187616"/>
      </c:barChart>
      <c:catAx>
        <c:axId val="479186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79187616"/>
        <c:crosses val="autoZero"/>
        <c:auto val="1"/>
        <c:lblAlgn val="ctr"/>
        <c:lblOffset val="100"/>
        <c:noMultiLvlLbl val="0"/>
      </c:catAx>
      <c:valAx>
        <c:axId val="479187616"/>
        <c:scaling>
          <c:orientation val="minMax"/>
        </c:scaling>
        <c:delete val="1"/>
        <c:axPos val="l"/>
        <c:numFmt formatCode="0.0%" sourceLinked="1"/>
        <c:majorTickMark val="none"/>
        <c:minorTickMark val="none"/>
        <c:tickLblPos val="nextTo"/>
        <c:crossAx val="479186632"/>
        <c:crosses val="autoZero"/>
        <c:crossBetween val="between"/>
      </c:valAx>
      <c:spPr>
        <a:noFill/>
        <a:ln>
          <a:noFill/>
        </a:ln>
        <a:effectLst/>
      </c:spPr>
    </c:plotArea>
    <c:legend>
      <c:legendPos val="t"/>
      <c:layout>
        <c:manualLayout>
          <c:xMode val="edge"/>
          <c:yMode val="edge"/>
          <c:x val="4.5492344706911644E-2"/>
          <c:y val="4.9365303244005641E-2"/>
          <c:w val="0.40623753280839897"/>
          <c:h val="0.1293742989460591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912561410592907"/>
          <c:y val="4.2710153368278006E-2"/>
          <c:w val="0.53531883033851535"/>
          <c:h val="0.91457969326344402"/>
        </c:manualLayout>
      </c:layout>
      <c:barChart>
        <c:barDir val="bar"/>
        <c:grouping val="clustered"/>
        <c:varyColors val="0"/>
        <c:ser>
          <c:idx val="0"/>
          <c:order val="0"/>
          <c:spPr>
            <a:solidFill>
              <a:schemeClr val="accent1"/>
            </a:solidFill>
            <a:ln>
              <a:noFill/>
            </a:ln>
            <a:effectLst/>
          </c:spPr>
          <c:invertIfNegative val="0"/>
          <c:dLbls>
            <c:dLbl>
              <c:idx val="10"/>
              <c:layout>
                <c:manualLayout>
                  <c:x val="-1.5669334656024605E-16"/>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C6-404C-8CAD-1B5C2867FC20}"/>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[AnalyticSpreadsheet_2020.xlsx]Sheet1!$G$272:$G$282</c:f>
              <c:strCache>
                <c:ptCount val="11"/>
                <c:pt idx="0">
                  <c:v>MAT other than Methadone</c:v>
                </c:pt>
                <c:pt idx="1">
                  <c:v>Residential/Rehabilitation</c:v>
                </c:pt>
                <c:pt idx="2">
                  <c:v>Day Treatment</c:v>
                </c:pt>
                <c:pt idx="3">
                  <c:v>Detoxification - Hospital Inpatient</c:v>
                </c:pt>
                <c:pt idx="4">
                  <c:v>Inpatient/Hospital (Other Than Detox)</c:v>
                </c:pt>
                <c:pt idx="5">
                  <c:v>After Care</c:v>
                </c:pt>
                <c:pt idx="6">
                  <c:v>Outreach</c:v>
                </c:pt>
                <c:pt idx="7">
                  <c:v>Intensive Outpatient</c:v>
                </c:pt>
                <c:pt idx="8">
                  <c:v>Case Management</c:v>
                </c:pt>
                <c:pt idx="9">
                  <c:v>Recovery Support</c:v>
                </c:pt>
                <c:pt idx="10">
                  <c:v>Outpatient</c:v>
                </c:pt>
              </c:strCache>
            </c:strRef>
          </c:cat>
          <c:val>
            <c:numRef>
              <c:f>[AnalyticSpreadsheet_2020.xlsx]Sheet1!$H$272:$H$282</c:f>
              <c:numCache>
                <c:formatCode>0.0%</c:formatCode>
                <c:ptCount val="11"/>
                <c:pt idx="0">
                  <c:v>2.2727272727272735E-2</c:v>
                </c:pt>
                <c:pt idx="1">
                  <c:v>4.5454545454545456E-2</c:v>
                </c:pt>
                <c:pt idx="2">
                  <c:v>6.8181818181818177E-2</c:v>
                </c:pt>
                <c:pt idx="3">
                  <c:v>9.0909090909090912E-2</c:v>
                </c:pt>
                <c:pt idx="4">
                  <c:v>9.0909090909090925E-2</c:v>
                </c:pt>
                <c:pt idx="5">
                  <c:v>0.22727272727272732</c:v>
                </c:pt>
                <c:pt idx="6">
                  <c:v>0.45454545454545447</c:v>
                </c:pt>
                <c:pt idx="7">
                  <c:v>0.59090909090909083</c:v>
                </c:pt>
                <c:pt idx="8">
                  <c:v>0.63636363636363635</c:v>
                </c:pt>
                <c:pt idx="9">
                  <c:v>0.7954545454545453</c:v>
                </c:pt>
                <c:pt idx="10">
                  <c:v>0.93181818181818143</c:v>
                </c:pt>
              </c:numCache>
            </c:numRef>
          </c:val>
          <c:extLst>
            <c:ext xmlns:c16="http://schemas.microsoft.com/office/drawing/2014/chart" uri="{C3380CC4-5D6E-409C-BE32-E72D297353CC}">
              <c16:uniqueId val="{00000000-E6A9-4F76-BF3D-B5DDFFC59FCA}"/>
            </c:ext>
          </c:extLst>
        </c:ser>
        <c:dLbls>
          <c:showLegendKey val="0"/>
          <c:showVal val="0"/>
          <c:showCatName val="0"/>
          <c:showSerName val="0"/>
          <c:showPercent val="0"/>
          <c:showBubbleSize val="0"/>
        </c:dLbls>
        <c:gapWidth val="149"/>
        <c:axId val="930538288"/>
        <c:axId val="925282384"/>
      </c:barChart>
      <c:catAx>
        <c:axId val="930538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925282384"/>
        <c:crosses val="autoZero"/>
        <c:auto val="1"/>
        <c:lblAlgn val="ctr"/>
        <c:lblOffset val="100"/>
        <c:noMultiLvlLbl val="0"/>
      </c:catAx>
      <c:valAx>
        <c:axId val="925282384"/>
        <c:scaling>
          <c:orientation val="minMax"/>
        </c:scaling>
        <c:delete val="1"/>
        <c:axPos val="b"/>
        <c:numFmt formatCode="0%" sourceLinked="0"/>
        <c:majorTickMark val="none"/>
        <c:minorTickMark val="none"/>
        <c:tickLblPos val="nextTo"/>
        <c:crossAx val="930538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[AnalyticSpreadsheet_2020.xlsx]Sheet1!$G$298:$G$313</c:f>
              <c:strCache>
                <c:ptCount val="16"/>
                <c:pt idx="0">
                  <c:v>Other Clinical Services</c:v>
                </c:pt>
                <c:pt idx="1">
                  <c:v>Referral to MAT</c:v>
                </c:pt>
                <c:pt idx="2">
                  <c:v>HIV/AIDS Counseling</c:v>
                </c:pt>
                <c:pt idx="3">
                  <c:v>Wraparound</c:v>
                </c:pt>
                <c:pt idx="4">
                  <c:v>Pharmacological Interventions</c:v>
                </c:pt>
                <c:pt idx="5">
                  <c:v>Brief Treatment</c:v>
                </c:pt>
                <c:pt idx="6">
                  <c:v>Family/Marriage Counseling</c:v>
                </c:pt>
                <c:pt idx="7">
                  <c:v>Brief Intervention</c:v>
                </c:pt>
                <c:pt idx="8">
                  <c:v>Referral to Treatment</c:v>
                </c:pt>
                <c:pt idx="9">
                  <c:v>Screening</c:v>
                </c:pt>
                <c:pt idx="10">
                  <c:v>Co-Occurring Treatment/Recovery Services</c:v>
                </c:pt>
                <c:pt idx="11">
                  <c:v>Treatment/Recovery Planning</c:v>
                </c:pt>
                <c:pt idx="12">
                  <c:v>Assessment</c:v>
                </c:pt>
                <c:pt idx="13">
                  <c:v>Group Counseling</c:v>
                </c:pt>
                <c:pt idx="14">
                  <c:v>Individual Counseling</c:v>
                </c:pt>
                <c:pt idx="15">
                  <c:v>The Seven Challenges</c:v>
                </c:pt>
              </c:strCache>
            </c:strRef>
          </c:cat>
          <c:val>
            <c:numRef>
              <c:f>[AnalyticSpreadsheet_2020.xlsx]Sheet1!$H$298:$H$313</c:f>
              <c:numCache>
                <c:formatCode>0.0%</c:formatCode>
                <c:ptCount val="16"/>
                <c:pt idx="0">
                  <c:v>4.5454545454545463E-2</c:v>
                </c:pt>
                <c:pt idx="1">
                  <c:v>0.15909090909090912</c:v>
                </c:pt>
                <c:pt idx="2">
                  <c:v>0.27272727272727276</c:v>
                </c:pt>
                <c:pt idx="3">
                  <c:v>0.40909090909090912</c:v>
                </c:pt>
                <c:pt idx="4">
                  <c:v>0.43181818181818177</c:v>
                </c:pt>
                <c:pt idx="5">
                  <c:v>0.54545454545454541</c:v>
                </c:pt>
                <c:pt idx="6">
                  <c:v>0.56818181818181823</c:v>
                </c:pt>
                <c:pt idx="7">
                  <c:v>0.59090909090909083</c:v>
                </c:pt>
                <c:pt idx="8">
                  <c:v>0.59090909090909083</c:v>
                </c:pt>
                <c:pt idx="9">
                  <c:v>0.74999999999999989</c:v>
                </c:pt>
                <c:pt idx="10">
                  <c:v>0.84090909090909072</c:v>
                </c:pt>
                <c:pt idx="11">
                  <c:v>0.88636363636363602</c:v>
                </c:pt>
                <c:pt idx="12">
                  <c:v>0.88636363636363635</c:v>
                </c:pt>
                <c:pt idx="13">
                  <c:v>0.90909090909090906</c:v>
                </c:pt>
                <c:pt idx="14">
                  <c:v>1</c:v>
                </c:pt>
                <c:pt idx="15">
                  <c:v>1</c:v>
                </c:pt>
              </c:numCache>
            </c:numRef>
          </c:val>
          <c:extLst>
            <c:ext xmlns:c16="http://schemas.microsoft.com/office/drawing/2014/chart" uri="{C3380CC4-5D6E-409C-BE32-E72D297353CC}">
              <c16:uniqueId val="{00000000-E434-4CFF-A0B9-BDAB4E45CEB5}"/>
            </c:ext>
          </c:extLst>
        </c:ser>
        <c:dLbls>
          <c:showLegendKey val="0"/>
          <c:showVal val="0"/>
          <c:showCatName val="0"/>
          <c:showSerName val="0"/>
          <c:showPercent val="0"/>
          <c:showBubbleSize val="0"/>
        </c:dLbls>
        <c:gapWidth val="149"/>
        <c:axId val="1466885712"/>
        <c:axId val="925245360"/>
      </c:barChart>
      <c:catAx>
        <c:axId val="1466885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925245360"/>
        <c:crosses val="autoZero"/>
        <c:auto val="1"/>
        <c:lblAlgn val="ctr"/>
        <c:lblOffset val="100"/>
        <c:noMultiLvlLbl val="0"/>
      </c:catAx>
      <c:valAx>
        <c:axId val="925245360"/>
        <c:scaling>
          <c:orientation val="minMax"/>
        </c:scaling>
        <c:delete val="1"/>
        <c:axPos val="b"/>
        <c:numFmt formatCode="0%" sourceLinked="0"/>
        <c:majorTickMark val="none"/>
        <c:minorTickMark val="none"/>
        <c:tickLblPos val="nextTo"/>
        <c:crossAx val="146688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586799246248062"/>
          <c:y val="4.1431261770244823E-2"/>
          <c:w val="0.47413200753751933"/>
          <c:h val="0.9171374764595103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[AnalyticSpreadsheet_2020.xlsx]Sheet1!$G$326:$G$334</c:f>
              <c:strCache>
                <c:ptCount val="9"/>
                <c:pt idx="0">
                  <c:v>Child Care</c:v>
                </c:pt>
                <c:pt idx="1">
                  <c:v>Supportive Transitional Drug-Free Housing Services</c:v>
                </c:pt>
                <c:pt idx="2">
                  <c:v>HIV/AIDS Service</c:v>
                </c:pt>
                <c:pt idx="3">
                  <c:v>Other Case Management Services</c:v>
                </c:pt>
                <c:pt idx="4">
                  <c:v>Employment Service - Employment Coaching</c:v>
                </c:pt>
                <c:pt idx="5">
                  <c:v>Employment Service - Pre-Employment</c:v>
                </c:pt>
                <c:pt idx="6">
                  <c:v>Transportation</c:v>
                </c:pt>
                <c:pt idx="7">
                  <c:v>Family Services (Including Marriage Education, Parenting, Child Development Services)</c:v>
                </c:pt>
                <c:pt idx="8">
                  <c:v>Individual Services Coordination</c:v>
                </c:pt>
              </c:strCache>
            </c:strRef>
          </c:cat>
          <c:val>
            <c:numRef>
              <c:f>[AnalyticSpreadsheet_2020.xlsx]Sheet1!$H$326:$H$334</c:f>
              <c:numCache>
                <c:formatCode>0.0%</c:formatCode>
                <c:ptCount val="9"/>
                <c:pt idx="0">
                  <c:v>2.2727272727272728E-2</c:v>
                </c:pt>
                <c:pt idx="1">
                  <c:v>4.5454545454545456E-2</c:v>
                </c:pt>
                <c:pt idx="2">
                  <c:v>4.545454545454547E-2</c:v>
                </c:pt>
                <c:pt idx="3">
                  <c:v>6.8181818181818191E-2</c:v>
                </c:pt>
                <c:pt idx="4">
                  <c:v>0.13636363636363638</c:v>
                </c:pt>
                <c:pt idx="5">
                  <c:v>0.15909090909090909</c:v>
                </c:pt>
                <c:pt idx="6">
                  <c:v>0.15909090909090912</c:v>
                </c:pt>
                <c:pt idx="7">
                  <c:v>0.29545454545454541</c:v>
                </c:pt>
                <c:pt idx="8">
                  <c:v>0.49999999999999989</c:v>
                </c:pt>
              </c:numCache>
            </c:numRef>
          </c:val>
          <c:extLst>
            <c:ext xmlns:c16="http://schemas.microsoft.com/office/drawing/2014/chart" uri="{C3380CC4-5D6E-409C-BE32-E72D297353CC}">
              <c16:uniqueId val="{00000000-2737-44F5-A9C3-67D202ADE016}"/>
            </c:ext>
          </c:extLst>
        </c:ser>
        <c:dLbls>
          <c:showLegendKey val="0"/>
          <c:showVal val="0"/>
          <c:showCatName val="0"/>
          <c:showSerName val="0"/>
          <c:showPercent val="0"/>
          <c:showBubbleSize val="0"/>
        </c:dLbls>
        <c:gapWidth val="149"/>
        <c:axId val="1460051328"/>
        <c:axId val="925296112"/>
      </c:barChart>
      <c:catAx>
        <c:axId val="1460051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925296112"/>
        <c:crosses val="autoZero"/>
        <c:auto val="1"/>
        <c:lblAlgn val="ctr"/>
        <c:lblOffset val="100"/>
        <c:noMultiLvlLbl val="0"/>
      </c:catAx>
      <c:valAx>
        <c:axId val="925296112"/>
        <c:scaling>
          <c:orientation val="minMax"/>
          <c:max val="1"/>
        </c:scaling>
        <c:delete val="1"/>
        <c:axPos val="b"/>
        <c:numFmt formatCode="0%" sourceLinked="0"/>
        <c:majorTickMark val="none"/>
        <c:minorTickMark val="none"/>
        <c:tickLblPos val="nextTo"/>
        <c:crossAx val="146005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0.77681</cdr:x>
      <cdr:y>0.34689</cdr:y>
    </cdr:from>
    <cdr:to>
      <cdr:x>0.98912</cdr:x>
      <cdr:y>0.61324</cdr:y>
    </cdr:to>
    <cdr:sp macro="" textlink="">
      <cdr:nvSpPr>
        <cdr:cNvPr id="4" name="Text Box 2"/>
        <cdr:cNvSpPr txBox="1">
          <a:spLocks xmlns:a="http://schemas.openxmlformats.org/drawingml/2006/main" noChangeArrowheads="1"/>
        </cdr:cNvSpPr>
      </cdr:nvSpPr>
      <cdr:spPr bwMode="auto">
        <a:xfrm xmlns:a="http://schemas.openxmlformats.org/drawingml/2006/main">
          <a:off x="4308763" y="602674"/>
          <a:ext cx="1177635" cy="46274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20000"/>
            </a:lnSpc>
            <a:spcBef>
              <a:spcPts val="0"/>
            </a:spcBef>
            <a:spcAft>
              <a:spcPts val="800"/>
            </a:spcAft>
          </a:pPr>
          <a:r>
            <a:rPr lang="en-US" sz="1050" b="1">
              <a:solidFill>
                <a:schemeClr val="accent2">
                  <a:lumMod val="75000"/>
                </a:schemeClr>
              </a:solidFill>
              <a:effectLst/>
              <a:latin typeface="Franklin Gothic Book" panose="020B0503020102020204" pitchFamily="34" charset="0"/>
              <a:ea typeface="Georgia" panose="02040502050405020303" pitchFamily="18" charset="0"/>
              <a:cs typeface="Times New Roman" panose="02020603050405020304" pitchFamily="18" charset="0"/>
            </a:rPr>
            <a:t>New Hampshire</a:t>
          </a:r>
          <a:br>
            <a:rPr lang="en-US" sz="1050">
              <a:solidFill>
                <a:srgbClr val="404040"/>
              </a:solidFill>
              <a:effectLst/>
              <a:latin typeface="Franklin Gothic Book" panose="020B0503020102020204" pitchFamily="34" charset="0"/>
              <a:ea typeface="Georgia" panose="02040502050405020303" pitchFamily="18" charset="0"/>
              <a:cs typeface="Times New Roman" panose="02020603050405020304" pitchFamily="18" charset="0"/>
            </a:rPr>
          </a:br>
          <a:r>
            <a:rPr lang="en-US" sz="1050" b="1">
              <a:solidFill>
                <a:schemeClr val="accent1"/>
              </a:solidFill>
              <a:effectLst/>
              <a:latin typeface="Franklin Gothic Book" panose="020B0503020102020204" pitchFamily="34" charset="0"/>
              <a:ea typeface="Georgia" panose="02040502050405020303" pitchFamily="18" charset="0"/>
              <a:cs typeface="Times New Roman" panose="02020603050405020304" pitchFamily="18" charset="0"/>
            </a:rPr>
            <a:t>Total US</a:t>
          </a:r>
          <a:endParaRPr lang="en-US" sz="1050" b="1">
            <a:solidFill>
              <a:schemeClr val="accent1"/>
            </a:solidFill>
            <a:effectLst/>
            <a:latin typeface="Georgia" panose="02040502050405020303" pitchFamily="18" charset="0"/>
            <a:ea typeface="Georgia" panose="02040502050405020303"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0.74808</cdr:x>
      <cdr:y>0.22063</cdr:y>
    </cdr:from>
    <cdr:to>
      <cdr:x>0.96027</cdr:x>
      <cdr:y>0.48698</cdr:y>
    </cdr:to>
    <cdr:sp macro="" textlink="">
      <cdr:nvSpPr>
        <cdr:cNvPr id="2" name="Text Box 2"/>
        <cdr:cNvSpPr txBox="1">
          <a:spLocks xmlns:a="http://schemas.openxmlformats.org/drawingml/2006/main" noChangeArrowheads="1"/>
        </cdr:cNvSpPr>
      </cdr:nvSpPr>
      <cdr:spPr bwMode="auto">
        <a:xfrm xmlns:a="http://schemas.openxmlformats.org/drawingml/2006/main">
          <a:off x="4151745" y="383310"/>
          <a:ext cx="1177635" cy="46274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20000"/>
            </a:lnSpc>
            <a:spcBef>
              <a:spcPts val="0"/>
            </a:spcBef>
            <a:spcAft>
              <a:spcPts val="800"/>
            </a:spcAft>
          </a:pPr>
          <a:r>
            <a:rPr lang="en-US" sz="1050" b="1">
              <a:solidFill>
                <a:schemeClr val="accent2">
                  <a:lumMod val="75000"/>
                </a:schemeClr>
              </a:solidFill>
              <a:effectLst/>
              <a:latin typeface="Franklin Gothic Book" panose="020B0503020102020204" pitchFamily="34" charset="0"/>
              <a:ea typeface="Georgia" panose="02040502050405020303" pitchFamily="18" charset="0"/>
              <a:cs typeface="Times New Roman" panose="02020603050405020304" pitchFamily="18" charset="0"/>
            </a:rPr>
            <a:t>New Hampshire</a:t>
          </a:r>
          <a:br>
            <a:rPr lang="en-US" sz="1050">
              <a:solidFill>
                <a:srgbClr val="404040"/>
              </a:solidFill>
              <a:effectLst/>
              <a:latin typeface="Franklin Gothic Book" panose="020B0503020102020204" pitchFamily="34" charset="0"/>
              <a:ea typeface="Georgia" panose="02040502050405020303" pitchFamily="18" charset="0"/>
              <a:cs typeface="Times New Roman" panose="02020603050405020304" pitchFamily="18" charset="0"/>
            </a:rPr>
          </a:br>
          <a:r>
            <a:rPr lang="en-US" sz="1050" b="1">
              <a:solidFill>
                <a:schemeClr val="accent1"/>
              </a:solidFill>
              <a:effectLst/>
              <a:latin typeface="Franklin Gothic Book" panose="020B0503020102020204" pitchFamily="34" charset="0"/>
              <a:ea typeface="Georgia" panose="02040502050405020303" pitchFamily="18" charset="0"/>
              <a:cs typeface="Times New Roman" panose="02020603050405020304" pitchFamily="18" charset="0"/>
            </a:rPr>
            <a:t>Total US</a:t>
          </a:r>
          <a:endParaRPr lang="en-US" sz="1050" b="1">
            <a:solidFill>
              <a:schemeClr val="accent1"/>
            </a:solidFill>
            <a:effectLst/>
            <a:latin typeface="Georgia" panose="02040502050405020303" pitchFamily="18" charset="0"/>
            <a:ea typeface="Georgia" panose="02040502050405020303"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0.78781</cdr:x>
      <cdr:y>0.54226</cdr:y>
    </cdr:from>
    <cdr:to>
      <cdr:x>1</cdr:x>
      <cdr:y>0.77406</cdr:y>
    </cdr:to>
    <cdr:sp macro="" textlink="">
      <cdr:nvSpPr>
        <cdr:cNvPr id="2" name="Text Box 2"/>
        <cdr:cNvSpPr txBox="1">
          <a:spLocks xmlns:a="http://schemas.openxmlformats.org/drawingml/2006/main" noChangeArrowheads="1"/>
        </cdr:cNvSpPr>
      </cdr:nvSpPr>
      <cdr:spPr bwMode="auto">
        <a:xfrm xmlns:a="http://schemas.openxmlformats.org/drawingml/2006/main">
          <a:off x="4372265" y="942108"/>
          <a:ext cx="1177635" cy="40270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20000"/>
            </a:lnSpc>
            <a:spcBef>
              <a:spcPts val="0"/>
            </a:spcBef>
            <a:spcAft>
              <a:spcPts val="800"/>
            </a:spcAft>
          </a:pPr>
          <a:r>
            <a:rPr lang="en-US" sz="1050" b="1">
              <a:solidFill>
                <a:schemeClr val="accent2">
                  <a:lumMod val="75000"/>
                </a:schemeClr>
              </a:solidFill>
              <a:effectLst/>
              <a:latin typeface="Franklin Gothic Book" panose="020B0503020102020204" pitchFamily="34" charset="0"/>
              <a:ea typeface="Georgia" panose="02040502050405020303" pitchFamily="18" charset="0"/>
              <a:cs typeface="Times New Roman" panose="02020603050405020304" pitchFamily="18" charset="0"/>
            </a:rPr>
            <a:t>New Hampshire</a:t>
          </a:r>
          <a:br>
            <a:rPr lang="en-US" sz="1050">
              <a:solidFill>
                <a:srgbClr val="404040"/>
              </a:solidFill>
              <a:effectLst/>
              <a:latin typeface="Franklin Gothic Book" panose="020B0503020102020204" pitchFamily="34" charset="0"/>
              <a:ea typeface="Georgia" panose="02040502050405020303" pitchFamily="18" charset="0"/>
              <a:cs typeface="Times New Roman" panose="02020603050405020304" pitchFamily="18" charset="0"/>
            </a:rPr>
          </a:br>
          <a:r>
            <a:rPr lang="en-US" sz="1050" b="1">
              <a:solidFill>
                <a:schemeClr val="accent1"/>
              </a:solidFill>
              <a:effectLst/>
              <a:latin typeface="Franklin Gothic Book" panose="020B0503020102020204" pitchFamily="34" charset="0"/>
              <a:ea typeface="Georgia" panose="02040502050405020303" pitchFamily="18" charset="0"/>
              <a:cs typeface="Times New Roman" panose="02020603050405020304" pitchFamily="18" charset="0"/>
            </a:rPr>
            <a:t>Total US</a:t>
          </a:r>
          <a:endParaRPr lang="en-US" sz="1050" b="1">
            <a:solidFill>
              <a:schemeClr val="accent1"/>
            </a:solidFill>
            <a:effectLst/>
            <a:latin typeface="Georgia" panose="02040502050405020303" pitchFamily="18" charset="0"/>
            <a:ea typeface="Georgia" panose="02040502050405020303"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0.78781</cdr:x>
      <cdr:y>0.29638</cdr:y>
    </cdr:from>
    <cdr:to>
      <cdr:x>1</cdr:x>
      <cdr:y>0.52818</cdr:y>
    </cdr:to>
    <cdr:sp macro="" textlink="">
      <cdr:nvSpPr>
        <cdr:cNvPr id="2" name="Text Box 2"/>
        <cdr:cNvSpPr txBox="1">
          <a:spLocks xmlns:a="http://schemas.openxmlformats.org/drawingml/2006/main" noChangeArrowheads="1"/>
        </cdr:cNvSpPr>
      </cdr:nvSpPr>
      <cdr:spPr bwMode="auto">
        <a:xfrm xmlns:a="http://schemas.openxmlformats.org/drawingml/2006/main">
          <a:off x="4372265" y="514927"/>
          <a:ext cx="1177635" cy="40270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20000"/>
            </a:lnSpc>
            <a:spcBef>
              <a:spcPts val="0"/>
            </a:spcBef>
            <a:spcAft>
              <a:spcPts val="800"/>
            </a:spcAft>
          </a:pPr>
          <a:r>
            <a:rPr lang="en-US" sz="1050" b="1">
              <a:solidFill>
                <a:schemeClr val="accent2">
                  <a:lumMod val="75000"/>
                </a:schemeClr>
              </a:solidFill>
              <a:effectLst/>
              <a:latin typeface="Franklin Gothic Book" panose="020B0503020102020204" pitchFamily="34" charset="0"/>
              <a:ea typeface="Georgia" panose="02040502050405020303" pitchFamily="18" charset="0"/>
              <a:cs typeface="Times New Roman" panose="02020603050405020304" pitchFamily="18" charset="0"/>
            </a:rPr>
            <a:t>New Hampshire</a:t>
          </a:r>
          <a:br>
            <a:rPr lang="en-US" sz="1050">
              <a:solidFill>
                <a:srgbClr val="404040"/>
              </a:solidFill>
              <a:effectLst/>
              <a:latin typeface="Franklin Gothic Book" panose="020B0503020102020204" pitchFamily="34" charset="0"/>
              <a:ea typeface="Georgia" panose="02040502050405020303" pitchFamily="18" charset="0"/>
              <a:cs typeface="Times New Roman" panose="02020603050405020304" pitchFamily="18" charset="0"/>
            </a:rPr>
          </a:br>
          <a:r>
            <a:rPr lang="en-US" sz="1050" b="1">
              <a:solidFill>
                <a:schemeClr val="accent1"/>
              </a:solidFill>
              <a:effectLst/>
              <a:latin typeface="Franklin Gothic Book" panose="020B0503020102020204" pitchFamily="34" charset="0"/>
              <a:ea typeface="Georgia" panose="02040502050405020303" pitchFamily="18" charset="0"/>
              <a:cs typeface="Times New Roman" panose="02020603050405020304" pitchFamily="18" charset="0"/>
            </a:rPr>
            <a:t>Total US</a:t>
          </a:r>
          <a:endParaRPr lang="en-US" sz="1050" b="1">
            <a:solidFill>
              <a:schemeClr val="accent1"/>
            </a:solidFill>
            <a:effectLst/>
            <a:latin typeface="Georgia" panose="02040502050405020303" pitchFamily="18" charset="0"/>
            <a:ea typeface="Georgia" panose="02040502050405020303"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0.78781</cdr:x>
      <cdr:y>0.416</cdr:y>
    </cdr:from>
    <cdr:to>
      <cdr:x>1</cdr:x>
      <cdr:y>0.64779</cdr:y>
    </cdr:to>
    <cdr:sp macro="" textlink="">
      <cdr:nvSpPr>
        <cdr:cNvPr id="2" name="Text Box 2"/>
        <cdr:cNvSpPr txBox="1">
          <a:spLocks xmlns:a="http://schemas.openxmlformats.org/drawingml/2006/main" noChangeArrowheads="1"/>
        </cdr:cNvSpPr>
      </cdr:nvSpPr>
      <cdr:spPr bwMode="auto">
        <a:xfrm xmlns:a="http://schemas.openxmlformats.org/drawingml/2006/main">
          <a:off x="4372265" y="722744"/>
          <a:ext cx="1177635" cy="40270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20000"/>
            </a:lnSpc>
            <a:spcBef>
              <a:spcPts val="0"/>
            </a:spcBef>
            <a:spcAft>
              <a:spcPts val="800"/>
            </a:spcAft>
          </a:pPr>
          <a:r>
            <a:rPr lang="en-US" sz="1050" b="1">
              <a:solidFill>
                <a:schemeClr val="accent2">
                  <a:lumMod val="75000"/>
                </a:schemeClr>
              </a:solidFill>
              <a:effectLst/>
              <a:latin typeface="Franklin Gothic Book" panose="020B0503020102020204" pitchFamily="34" charset="0"/>
              <a:ea typeface="Georgia" panose="02040502050405020303" pitchFamily="18" charset="0"/>
              <a:cs typeface="Times New Roman" panose="02020603050405020304" pitchFamily="18" charset="0"/>
            </a:rPr>
            <a:t>New Hampshire</a:t>
          </a:r>
          <a:br>
            <a:rPr lang="en-US" sz="1050">
              <a:solidFill>
                <a:srgbClr val="404040"/>
              </a:solidFill>
              <a:effectLst/>
              <a:latin typeface="Franklin Gothic Book" panose="020B0503020102020204" pitchFamily="34" charset="0"/>
              <a:ea typeface="Georgia" panose="02040502050405020303" pitchFamily="18" charset="0"/>
              <a:cs typeface="Times New Roman" panose="02020603050405020304" pitchFamily="18" charset="0"/>
            </a:rPr>
          </a:br>
          <a:r>
            <a:rPr lang="en-US" sz="1050" b="1">
              <a:solidFill>
                <a:schemeClr val="accent1"/>
              </a:solidFill>
              <a:effectLst/>
              <a:latin typeface="Franklin Gothic Book" panose="020B0503020102020204" pitchFamily="34" charset="0"/>
              <a:ea typeface="Georgia" panose="02040502050405020303" pitchFamily="18" charset="0"/>
              <a:cs typeface="Times New Roman" panose="02020603050405020304" pitchFamily="18" charset="0"/>
            </a:rPr>
            <a:t>Total US</a:t>
          </a:r>
          <a:endParaRPr lang="en-US" sz="1050" b="1">
            <a:solidFill>
              <a:schemeClr val="accent1"/>
            </a:solidFill>
            <a:effectLst/>
            <a:latin typeface="Georgia" panose="02040502050405020303" pitchFamily="18" charset="0"/>
            <a:ea typeface="Georgia" panose="02040502050405020303"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0.74787</cdr:x>
      <cdr:y>0.18873</cdr:y>
    </cdr:from>
    <cdr:to>
      <cdr:x>0.96006</cdr:x>
      <cdr:y>0.42052</cdr:y>
    </cdr:to>
    <cdr:sp macro="" textlink="">
      <cdr:nvSpPr>
        <cdr:cNvPr id="2" name="Text Box 2"/>
        <cdr:cNvSpPr txBox="1">
          <a:spLocks xmlns:a="http://schemas.openxmlformats.org/drawingml/2006/main" noChangeArrowheads="1"/>
        </cdr:cNvSpPr>
      </cdr:nvSpPr>
      <cdr:spPr bwMode="auto">
        <a:xfrm xmlns:a="http://schemas.openxmlformats.org/drawingml/2006/main">
          <a:off x="4150592" y="327889"/>
          <a:ext cx="1177635" cy="40270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20000"/>
            </a:lnSpc>
            <a:spcBef>
              <a:spcPts val="0"/>
            </a:spcBef>
            <a:spcAft>
              <a:spcPts val="800"/>
            </a:spcAft>
          </a:pPr>
          <a:r>
            <a:rPr lang="en-US" sz="1050" b="1">
              <a:solidFill>
                <a:schemeClr val="accent2">
                  <a:lumMod val="75000"/>
                </a:schemeClr>
              </a:solidFill>
              <a:effectLst/>
              <a:latin typeface="Franklin Gothic Book" panose="020B0503020102020204" pitchFamily="34" charset="0"/>
              <a:ea typeface="Georgia" panose="02040502050405020303" pitchFamily="18" charset="0"/>
              <a:cs typeface="Times New Roman" panose="02020603050405020304" pitchFamily="18" charset="0"/>
            </a:rPr>
            <a:t>New Hampshire</a:t>
          </a:r>
          <a:br>
            <a:rPr lang="en-US" sz="1050">
              <a:solidFill>
                <a:srgbClr val="404040"/>
              </a:solidFill>
              <a:effectLst/>
              <a:latin typeface="Franklin Gothic Book" panose="020B0503020102020204" pitchFamily="34" charset="0"/>
              <a:ea typeface="Georgia" panose="02040502050405020303" pitchFamily="18" charset="0"/>
              <a:cs typeface="Times New Roman" panose="02020603050405020304" pitchFamily="18" charset="0"/>
            </a:rPr>
          </a:br>
          <a:r>
            <a:rPr lang="en-US" sz="1050" b="1">
              <a:solidFill>
                <a:schemeClr val="accent1"/>
              </a:solidFill>
              <a:effectLst/>
              <a:latin typeface="Franklin Gothic Book" panose="020B0503020102020204" pitchFamily="34" charset="0"/>
              <a:ea typeface="Georgia" panose="02040502050405020303" pitchFamily="18" charset="0"/>
              <a:cs typeface="Times New Roman" panose="02020603050405020304" pitchFamily="18" charset="0"/>
            </a:rPr>
            <a:t>Total US</a:t>
          </a:r>
          <a:endParaRPr lang="en-US" sz="1050" b="1">
            <a:solidFill>
              <a:schemeClr val="accent1"/>
            </a:solidFill>
            <a:effectLst/>
            <a:latin typeface="Georgia" panose="02040502050405020303" pitchFamily="18" charset="0"/>
            <a:ea typeface="Georgia" panose="02040502050405020303"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0.78781</cdr:x>
      <cdr:y>0.20866</cdr:y>
    </cdr:from>
    <cdr:to>
      <cdr:x>1</cdr:x>
      <cdr:y>0.44046</cdr:y>
    </cdr:to>
    <cdr:sp macro="" textlink="">
      <cdr:nvSpPr>
        <cdr:cNvPr id="2" name="Text Box 2"/>
        <cdr:cNvSpPr txBox="1">
          <a:spLocks xmlns:a="http://schemas.openxmlformats.org/drawingml/2006/main" noChangeArrowheads="1"/>
        </cdr:cNvSpPr>
      </cdr:nvSpPr>
      <cdr:spPr bwMode="auto">
        <a:xfrm xmlns:a="http://schemas.openxmlformats.org/drawingml/2006/main">
          <a:off x="4372265" y="362526"/>
          <a:ext cx="1177635" cy="40270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20000"/>
            </a:lnSpc>
            <a:spcBef>
              <a:spcPts val="0"/>
            </a:spcBef>
            <a:spcAft>
              <a:spcPts val="800"/>
            </a:spcAft>
          </a:pPr>
          <a:r>
            <a:rPr lang="en-US" sz="1050" b="1">
              <a:solidFill>
                <a:schemeClr val="accent2">
                  <a:lumMod val="75000"/>
                </a:schemeClr>
              </a:solidFill>
              <a:effectLst/>
              <a:latin typeface="Franklin Gothic Book" panose="020B0503020102020204" pitchFamily="34" charset="0"/>
              <a:ea typeface="Georgia" panose="02040502050405020303" pitchFamily="18" charset="0"/>
              <a:cs typeface="Times New Roman" panose="02020603050405020304" pitchFamily="18" charset="0"/>
            </a:rPr>
            <a:t>New Hampshire</a:t>
          </a:r>
          <a:br>
            <a:rPr lang="en-US" sz="1050">
              <a:solidFill>
                <a:srgbClr val="404040"/>
              </a:solidFill>
              <a:effectLst/>
              <a:latin typeface="Franklin Gothic Book" panose="020B0503020102020204" pitchFamily="34" charset="0"/>
              <a:ea typeface="Georgia" panose="02040502050405020303" pitchFamily="18" charset="0"/>
              <a:cs typeface="Times New Roman" panose="02020603050405020304" pitchFamily="18" charset="0"/>
            </a:rPr>
          </a:br>
          <a:r>
            <a:rPr lang="en-US" sz="1050" b="1">
              <a:solidFill>
                <a:schemeClr val="accent1"/>
              </a:solidFill>
              <a:effectLst/>
              <a:latin typeface="Franklin Gothic Book" panose="020B0503020102020204" pitchFamily="34" charset="0"/>
              <a:ea typeface="Georgia" panose="02040502050405020303" pitchFamily="18" charset="0"/>
              <a:cs typeface="Times New Roman" panose="02020603050405020304" pitchFamily="18" charset="0"/>
            </a:rPr>
            <a:t>Total US</a:t>
          </a:r>
          <a:endParaRPr lang="en-US" sz="1050" b="1">
            <a:solidFill>
              <a:schemeClr val="accent1"/>
            </a:solidFill>
            <a:effectLst/>
            <a:latin typeface="Georgia" panose="02040502050405020303" pitchFamily="18" charset="0"/>
            <a:ea typeface="Georgia" panose="02040502050405020303"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0.77533</cdr:x>
      <cdr:y>0.14088</cdr:y>
    </cdr:from>
    <cdr:to>
      <cdr:x>0.98752</cdr:x>
      <cdr:y>0.37267</cdr:y>
    </cdr:to>
    <cdr:sp macro="" textlink="">
      <cdr:nvSpPr>
        <cdr:cNvPr id="2" name="Text Box 2"/>
        <cdr:cNvSpPr txBox="1">
          <a:spLocks xmlns:a="http://schemas.openxmlformats.org/drawingml/2006/main" noChangeArrowheads="1"/>
        </cdr:cNvSpPr>
      </cdr:nvSpPr>
      <cdr:spPr bwMode="auto">
        <a:xfrm xmlns:a="http://schemas.openxmlformats.org/drawingml/2006/main">
          <a:off x="4302992" y="244762"/>
          <a:ext cx="1177635" cy="40270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20000"/>
            </a:lnSpc>
            <a:spcBef>
              <a:spcPts val="0"/>
            </a:spcBef>
            <a:spcAft>
              <a:spcPts val="800"/>
            </a:spcAft>
          </a:pPr>
          <a:r>
            <a:rPr lang="en-US" sz="1050" b="1">
              <a:solidFill>
                <a:schemeClr val="accent2">
                  <a:lumMod val="75000"/>
                </a:schemeClr>
              </a:solidFill>
              <a:effectLst/>
              <a:latin typeface="Franklin Gothic Book" panose="020B0503020102020204" pitchFamily="34" charset="0"/>
              <a:ea typeface="Georgia" panose="02040502050405020303" pitchFamily="18" charset="0"/>
              <a:cs typeface="Times New Roman" panose="02020603050405020304" pitchFamily="18" charset="0"/>
            </a:rPr>
            <a:t>New Hampshire</a:t>
          </a:r>
          <a:br>
            <a:rPr lang="en-US" sz="1050">
              <a:solidFill>
                <a:srgbClr val="404040"/>
              </a:solidFill>
              <a:effectLst/>
              <a:latin typeface="Franklin Gothic Book" panose="020B0503020102020204" pitchFamily="34" charset="0"/>
              <a:ea typeface="Georgia" panose="02040502050405020303" pitchFamily="18" charset="0"/>
              <a:cs typeface="Times New Roman" panose="02020603050405020304" pitchFamily="18" charset="0"/>
            </a:rPr>
          </a:br>
          <a:r>
            <a:rPr lang="en-US" sz="1050" b="1">
              <a:solidFill>
                <a:schemeClr val="accent1"/>
              </a:solidFill>
              <a:effectLst/>
              <a:latin typeface="Franklin Gothic Book" panose="020B0503020102020204" pitchFamily="34" charset="0"/>
              <a:ea typeface="Georgia" panose="02040502050405020303" pitchFamily="18" charset="0"/>
              <a:cs typeface="Times New Roman" panose="02020603050405020304" pitchFamily="18" charset="0"/>
            </a:rPr>
            <a:t>Total US</a:t>
          </a:r>
          <a:endParaRPr lang="en-US" sz="1050" b="1">
            <a:solidFill>
              <a:schemeClr val="accent1"/>
            </a:solidFill>
            <a:effectLst/>
            <a:latin typeface="Georgia" panose="02040502050405020303" pitchFamily="18" charset="0"/>
            <a:ea typeface="Georgia" panose="02040502050405020303"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0.76285</cdr:x>
      <cdr:y>0.31632</cdr:y>
    </cdr:from>
    <cdr:to>
      <cdr:x>0.97504</cdr:x>
      <cdr:y>0.54811</cdr:y>
    </cdr:to>
    <cdr:sp macro="" textlink="">
      <cdr:nvSpPr>
        <cdr:cNvPr id="2" name="Text Box 2"/>
        <cdr:cNvSpPr txBox="1">
          <a:spLocks xmlns:a="http://schemas.openxmlformats.org/drawingml/2006/main" noChangeArrowheads="1"/>
        </cdr:cNvSpPr>
      </cdr:nvSpPr>
      <cdr:spPr bwMode="auto">
        <a:xfrm xmlns:a="http://schemas.openxmlformats.org/drawingml/2006/main">
          <a:off x="4233719" y="549563"/>
          <a:ext cx="1177635" cy="40270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20000"/>
            </a:lnSpc>
            <a:spcBef>
              <a:spcPts val="0"/>
            </a:spcBef>
            <a:spcAft>
              <a:spcPts val="800"/>
            </a:spcAft>
          </a:pPr>
          <a:r>
            <a:rPr lang="en-US" sz="1050" b="1">
              <a:solidFill>
                <a:schemeClr val="accent2">
                  <a:lumMod val="75000"/>
                </a:schemeClr>
              </a:solidFill>
              <a:effectLst/>
              <a:latin typeface="Franklin Gothic Book" panose="020B0503020102020204" pitchFamily="34" charset="0"/>
              <a:ea typeface="Georgia" panose="02040502050405020303" pitchFamily="18" charset="0"/>
              <a:cs typeface="Times New Roman" panose="02020603050405020304" pitchFamily="18" charset="0"/>
            </a:rPr>
            <a:t>New Hampshire</a:t>
          </a:r>
          <a:br>
            <a:rPr lang="en-US" sz="1050">
              <a:solidFill>
                <a:srgbClr val="404040"/>
              </a:solidFill>
              <a:effectLst/>
              <a:latin typeface="Franklin Gothic Book" panose="020B0503020102020204" pitchFamily="34" charset="0"/>
              <a:ea typeface="Georgia" panose="02040502050405020303" pitchFamily="18" charset="0"/>
              <a:cs typeface="Times New Roman" panose="02020603050405020304" pitchFamily="18" charset="0"/>
            </a:rPr>
          </a:br>
          <a:r>
            <a:rPr lang="en-US" sz="1050" b="1">
              <a:solidFill>
                <a:schemeClr val="accent1"/>
              </a:solidFill>
              <a:effectLst/>
              <a:latin typeface="Franklin Gothic Book" panose="020B0503020102020204" pitchFamily="34" charset="0"/>
              <a:ea typeface="Georgia" panose="02040502050405020303" pitchFamily="18" charset="0"/>
              <a:cs typeface="Times New Roman" panose="02020603050405020304" pitchFamily="18" charset="0"/>
            </a:rPr>
            <a:t>Total US</a:t>
          </a:r>
          <a:endParaRPr lang="en-US" sz="1050" b="1">
            <a:solidFill>
              <a:schemeClr val="accent1"/>
            </a:solidFill>
            <a:effectLst/>
            <a:latin typeface="Georgia" panose="02040502050405020303" pitchFamily="18" charset="0"/>
            <a:ea typeface="Georgia" panose="02040502050405020303"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HSRI Theme">
  <a:themeElements>
    <a:clrScheme name="HSRI">
      <a:dk1>
        <a:sysClr val="windowText" lastClr="000000"/>
      </a:dk1>
      <a:lt1>
        <a:sysClr val="window" lastClr="FFFFFF"/>
      </a:lt1>
      <a:dk2>
        <a:srgbClr val="44546A"/>
      </a:dk2>
      <a:lt2>
        <a:srgbClr val="E7E6E6"/>
      </a:lt2>
      <a:accent1>
        <a:srgbClr val="20422A"/>
      </a:accent1>
      <a:accent2>
        <a:srgbClr val="8D9900"/>
      </a:accent2>
      <a:accent3>
        <a:srgbClr val="015365"/>
      </a:accent3>
      <a:accent4>
        <a:srgbClr val="0094B5"/>
      </a:accent4>
      <a:accent5>
        <a:srgbClr val="44546A"/>
      </a:accent5>
      <a:accent6>
        <a:srgbClr val="ED7D31"/>
      </a:accent6>
      <a:hlink>
        <a:srgbClr val="0563C1"/>
      </a:hlink>
      <a:folHlink>
        <a:srgbClr val="954F72"/>
      </a:folHlink>
    </a:clrScheme>
    <a:fontScheme name="Custom 7">
      <a:majorFont>
        <a:latin typeface="Franklin Gothic Boo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56AE598BD545C4B8A7F353B681C1454" ma:contentTypeVersion="6" ma:contentTypeDescription="Create a new document." ma:contentTypeScope="" ma:versionID="2a198a9139bfbf2470ad23de9902789a">
  <xsd:schema xmlns:xsd="http://www.w3.org/2001/XMLSchema" xmlns:xs="http://www.w3.org/2001/XMLSchema" xmlns:p="http://schemas.microsoft.com/office/2006/metadata/properties" xmlns:ns2="7eb95345-d009-41bb-b54f-c25419235b55" targetNamespace="http://schemas.microsoft.com/office/2006/metadata/properties" ma:root="true" ma:fieldsID="3161a8f8221f99e6ba014d1c1eafc2c6" ns2:_="">
    <xsd:import namespace="7eb95345-d009-41bb-b54f-c25419235b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95345-d009-41bb-b54f-c25419235b5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AF7941-F47D-4528-8C7B-7A81848C91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243EEB-3221-4B1F-A682-D6C2EA890F1E}">
  <ds:schemaRefs>
    <ds:schemaRef ds:uri="http://schemas.openxmlformats.org/officeDocument/2006/bibliography"/>
  </ds:schemaRefs>
</ds:datastoreItem>
</file>

<file path=customXml/itemProps3.xml><?xml version="1.0" encoding="utf-8"?>
<ds:datastoreItem xmlns:ds="http://schemas.openxmlformats.org/officeDocument/2006/customXml" ds:itemID="{D139A6C2-6752-437B-B561-74828F48574A}">
  <ds:schemaRefs>
    <ds:schemaRef ds:uri="http://schemas.microsoft.com/sharepoint/v3/contenttype/forms"/>
  </ds:schemaRefs>
</ds:datastoreItem>
</file>

<file path=customXml/itemProps4.xml><?xml version="1.0" encoding="utf-8"?>
<ds:datastoreItem xmlns:ds="http://schemas.openxmlformats.org/officeDocument/2006/customXml" ds:itemID="{C1DD5A4C-7DEF-445A-9750-EB12AB721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95345-d009-41bb-b54f-c25419235b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HSRI Basic Template (2).dotx</Template>
  <TotalTime>40</TotalTime>
  <Pages>44</Pages>
  <Words>9635</Words>
  <Characters>54926</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Gerber</dc:creator>
  <cp:keywords/>
  <dc:description/>
  <cp:lastModifiedBy>Nilufer Isvan</cp:lastModifiedBy>
  <cp:revision>7</cp:revision>
  <cp:lastPrinted>2021-02-22T19:03:00Z</cp:lastPrinted>
  <dcterms:created xsi:type="dcterms:W3CDTF">2021-02-23T20:30:00Z</dcterms:created>
  <dcterms:modified xsi:type="dcterms:W3CDTF">2021-02-23T21:04:00Z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0x010100856AE598BD545C4B8A7F353B681C1454</vt:lpwstr>
  </property>
</Properties>
</file>